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66" w:rsidRDefault="006A2366" w:rsidP="006A2366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Контрольно-счётный орган Сокурского сельсовета Мошковского района Новосибирской области</w:t>
      </w:r>
    </w:p>
    <w:p w:rsidR="006A2366" w:rsidRDefault="006A2366" w:rsidP="006A2366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633120, Новосибирская область, Мошковский район, 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окур ул.Советская,13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ksosokur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6A2366" w:rsidRDefault="006A2366" w:rsidP="006A2366">
      <w:pPr>
        <w:pStyle w:val="Standard"/>
        <w:spacing w:line="360" w:lineRule="auto"/>
        <w:rPr>
          <w:rFonts w:ascii="Times New Roman" w:hAnsi="Times New Roman" w:cs="Times New Roman"/>
          <w:b/>
          <w:sz w:val="28"/>
        </w:rPr>
      </w:pPr>
    </w:p>
    <w:p w:rsidR="006A2366" w:rsidRDefault="006A2366" w:rsidP="006A236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ЭКСПЕРТНОЕ ЗАКЛЮЧЕНИЕ</w:t>
      </w:r>
    </w:p>
    <w:p w:rsidR="006A2366" w:rsidRDefault="006A2366" w:rsidP="006A236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 проект бюджета  Сокурского сельсовета на 2016 год и плановый период 2017 и 2018 годы</w:t>
      </w:r>
    </w:p>
    <w:p w:rsidR="006A2366" w:rsidRDefault="006A2366" w:rsidP="006A2366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декабря 2015г.                                                                          </w:t>
      </w:r>
    </w:p>
    <w:p w:rsidR="006A2366" w:rsidRDefault="006A2366" w:rsidP="006A2366">
      <w:pPr>
        <w:pStyle w:val="Standard"/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пунктом 1 статьи 157 Бюджетного кодекса Российской Федерации (далее  по тексту – БК РФ), Положением «О бюджетном процессе в Сокурском сельсовете Мошковского района Новосибирской области», пунктом 1.8 Плана работы Контрольно-счетного органа Сокурского сельсовета (далее по тексту – Контрольно-счетный орган), Контрольно-счетным органом проведена экспертиза  решения  Сокурского Совета депутатов  от 24.11.2015г №2 </w:t>
      </w:r>
      <w:r>
        <w:rPr>
          <w:rFonts w:ascii="Times New Roman" w:hAnsi="Times New Roman" w:cs="Times New Roman"/>
          <w:sz w:val="28"/>
        </w:rPr>
        <w:t>«О проекте бюджета   Сокурского сельсовета на 2016 год</w:t>
      </w:r>
      <w:proofErr w:type="gramEnd"/>
      <w:r>
        <w:rPr>
          <w:rFonts w:ascii="Times New Roman" w:hAnsi="Times New Roman" w:cs="Times New Roman"/>
          <w:sz w:val="28"/>
        </w:rPr>
        <w:t xml:space="preserve"> и плановый период 2017 и 2018 годы». Экспертиза проведена председателем </w:t>
      </w:r>
      <w:proofErr w:type="spellStart"/>
      <w:r>
        <w:rPr>
          <w:rFonts w:ascii="Times New Roman" w:hAnsi="Times New Roman" w:cs="Times New Roman"/>
          <w:sz w:val="28"/>
        </w:rPr>
        <w:t>Контрольго-счетного</w:t>
      </w:r>
      <w:proofErr w:type="spellEnd"/>
      <w:r>
        <w:rPr>
          <w:rFonts w:ascii="Times New Roman" w:hAnsi="Times New Roman" w:cs="Times New Roman"/>
          <w:sz w:val="28"/>
        </w:rPr>
        <w:t xml:space="preserve"> органа Сокурского сельсовета Мошковского района Новосибирской области Алексан</w:t>
      </w:r>
      <w:r w:rsidR="00D326E7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ровым Виктором Леонидовичем.</w:t>
      </w:r>
    </w:p>
    <w:p w:rsidR="006A2366" w:rsidRDefault="006A2366" w:rsidP="006A2366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Цель экспертизы – </w:t>
      </w:r>
      <w:r>
        <w:rPr>
          <w:rFonts w:ascii="Times New Roman" w:hAnsi="Times New Roman"/>
          <w:color w:val="000000"/>
          <w:sz w:val="28"/>
          <w:szCs w:val="28"/>
        </w:rPr>
        <w:t>проверка проекта бюджета Сокурского сельсовета на 2016 год и плановый период 2017 и 2018 годов,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участниками бюджетного процесса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требований бюджетного  законодательства, экономическая и правовая оценка решения.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Организация составления Решения о бюджете.</w:t>
      </w:r>
    </w:p>
    <w:p w:rsidR="006A2366" w:rsidRDefault="006A2366" w:rsidP="006A2366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Заключение на проект решения Сокурского Совета депутатов от 19.11.2015г № 6  «О бюджете Сокурского сельсовета на 2016 год и плановый период 2017 и 2018 годов» подготовлено в соответствии с Бюджетным кодексом Российской Федерации, Положением «О бюджетном  устройстве и бюджетном процессе по администрации  Сокурского сельсовета».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и содержание документов и материалов, представленных одновременно с Решением, соответствует ст. 172, ст.179, ст.184 БК РФ, ст.46 Положения «О бюджетном устройстве и бюджетном процессе по администрации Сокурского сельсовета».</w:t>
      </w:r>
    </w:p>
    <w:p w:rsidR="006A2366" w:rsidRDefault="006A2366" w:rsidP="006A2366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Согласно ст. 173, ст. 174, ст. 184.2 БК, статьи 36 Положения о бюджетном устройстве,  разработаны:</w:t>
      </w:r>
    </w:p>
    <w:p w:rsidR="006A2366" w:rsidRDefault="006A2366" w:rsidP="006A2366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1. «Прогноз социально-экономического развития» как документ, на основании которого идет составление проекта бюджета. </w:t>
      </w:r>
    </w:p>
    <w:p w:rsidR="006A2366" w:rsidRDefault="006A2366" w:rsidP="006A236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«Основные направления бюджетной и налоговой политики администрации Сокурского сельсовета Мошковского района Новосибирской области на 2016 год и плановый период 2017 и 2018 годов» на очередной среднесрочный период и являются документом, содержащим цели и задачи, </w:t>
      </w: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и решения которых предусматриваются бюджетные ассигнования и формируются межбюджетные отношения с муниципальными образованиями</w:t>
      </w:r>
      <w:r>
        <w:rPr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Цели, заявленные в основных направлениях бюджетной политики на 2016 - 2018 годы, достаточно четкие, соответствуют стратегическим целям социально-экономического развития муниципального образования, способствующих стабилизации экономической деятельности на территории сельсовета. Направления налоговой политики учитывают изменения налогового и бюджетного законодательства, которые в планируемом среднесрочном периоде окажут существенное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уменьшение прогноза по НДФЛ и налогу на землю)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влияние на доходную часть бюджета сельсовета, а также предполагают мобилизацию собственных доходов за счет повышения качества налогового администрирования, усиления инвестиционной направленности экономического развития, привлечения перспективных налогоплательщиков. </w:t>
      </w:r>
    </w:p>
    <w:p w:rsidR="006A2366" w:rsidRDefault="006A2366" w:rsidP="006A2366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Проект бюджета,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36  Положения  «О бюджетном устройстве и бюджетном процессе Сокурского сельсовета», был разработан на три года. Вместе с Проектом был представлен среднесрочный финансовый план на 2016-2018 года, согласно пункту 4 статьи 169 Бюджетного Кодекса.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Доходы бюджета: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366" w:rsidRDefault="006A2366" w:rsidP="006A236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по формированию доходов бюджета Сокурского сельсовета в основном направлена на создание благоприятных условий для привлечения инвестиций в экономику поселения, модернизации и реконструкции производственных мощностей. А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расширение и рост доходной базы  бюджета Сокурского сельсовета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налогов.</w:t>
      </w:r>
    </w:p>
    <w:p w:rsidR="006A2366" w:rsidRPr="00736147" w:rsidRDefault="006A2366" w:rsidP="006A23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</w:t>
      </w:r>
      <w:r w:rsidRPr="00E65FD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5FD3">
        <w:rPr>
          <w:rFonts w:ascii="Times New Roman" w:hAnsi="Times New Roman" w:cs="Times New Roman"/>
          <w:sz w:val="28"/>
          <w:szCs w:val="28"/>
        </w:rPr>
        <w:t xml:space="preserve"> Минфина России о</w:t>
      </w:r>
      <w:r>
        <w:rPr>
          <w:rFonts w:ascii="Times New Roman" w:hAnsi="Times New Roman" w:cs="Times New Roman"/>
          <w:sz w:val="28"/>
          <w:szCs w:val="28"/>
        </w:rPr>
        <w:t xml:space="preserve">т 6 августа 2015 года № 124н </w:t>
      </w:r>
      <w:r w:rsidRPr="00E65FD3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Министерства финансов Российской Федерации от 1 декабря 2010 г.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736147">
        <w:rPr>
          <w:rFonts w:ascii="Times New Roman" w:hAnsi="Times New Roman" w:cs="Times New Roman"/>
          <w:sz w:val="28"/>
          <w:szCs w:val="28"/>
        </w:rPr>
        <w:t>государственных академий наук, государственных (муниципальных) учреждений и Инструкции по</w:t>
      </w:r>
      <w:proofErr w:type="gramEnd"/>
      <w:r w:rsidRPr="00736147">
        <w:rPr>
          <w:rFonts w:ascii="Times New Roman" w:hAnsi="Times New Roman" w:cs="Times New Roman"/>
          <w:sz w:val="28"/>
          <w:szCs w:val="28"/>
        </w:rPr>
        <w:t xml:space="preserve"> его применению», прошу учесть </w:t>
      </w:r>
      <w:r>
        <w:rPr>
          <w:rFonts w:ascii="Times New Roman" w:hAnsi="Times New Roman" w:cs="Times New Roman"/>
          <w:sz w:val="28"/>
          <w:szCs w:val="28"/>
        </w:rPr>
        <w:t xml:space="preserve">изменения кодов бюджетной классификации </w:t>
      </w:r>
      <w:r w:rsidRPr="007361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6147">
        <w:rPr>
          <w:rFonts w:ascii="Times New Roman" w:hAnsi="Times New Roman" w:cs="Times New Roman"/>
          <w:sz w:val="28"/>
          <w:szCs w:val="28"/>
        </w:rPr>
        <w:t xml:space="preserve">ешении о бюджете </w:t>
      </w:r>
      <w:r w:rsidRPr="00736147">
        <w:rPr>
          <w:rFonts w:ascii="Times New Roman" w:hAnsi="Times New Roman" w:cs="Times New Roman"/>
          <w:color w:val="000000"/>
          <w:sz w:val="28"/>
          <w:szCs w:val="28"/>
        </w:rPr>
        <w:t xml:space="preserve">Сокурского сельсовета на 2016 год и плановый период 2017 и 2018 </w:t>
      </w:r>
      <w:r w:rsidRPr="00736147">
        <w:rPr>
          <w:rFonts w:ascii="Times New Roman" w:hAnsi="Times New Roman" w:cs="Times New Roman"/>
          <w:sz w:val="28"/>
          <w:szCs w:val="28"/>
        </w:rPr>
        <w:t>годов, в Приложении</w:t>
      </w:r>
      <w:proofErr w:type="gramStart"/>
      <w:r w:rsidRPr="007361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36147">
        <w:rPr>
          <w:rFonts w:ascii="Times New Roman" w:hAnsi="Times New Roman" w:cs="Times New Roman"/>
          <w:sz w:val="28"/>
          <w:szCs w:val="28"/>
        </w:rPr>
        <w:t xml:space="preserve">   </w:t>
      </w:r>
      <w:r w:rsidRPr="003143F7">
        <w:rPr>
          <w:rFonts w:ascii="Times New Roman" w:hAnsi="Times New Roman" w:cs="Times New Roman"/>
          <w:sz w:val="28"/>
          <w:szCs w:val="28"/>
        </w:rPr>
        <w:t>(Администраторы  доходов бюджета доходов бюджета)</w:t>
      </w:r>
      <w:r w:rsidRPr="00736147">
        <w:rPr>
          <w:rFonts w:ascii="Times New Roman" w:hAnsi="Times New Roman" w:cs="Times New Roman"/>
          <w:sz w:val="28"/>
          <w:szCs w:val="28"/>
        </w:rPr>
        <w:t xml:space="preserve"> к Решению  </w:t>
      </w:r>
      <w:r>
        <w:rPr>
          <w:rFonts w:ascii="Times New Roman" w:hAnsi="Times New Roman" w:cs="Times New Roman"/>
          <w:sz w:val="28"/>
          <w:szCs w:val="28"/>
        </w:rPr>
        <w:t>о бюджете</w:t>
      </w:r>
      <w:r w:rsidRPr="00736147">
        <w:rPr>
          <w:rFonts w:ascii="Times New Roman" w:hAnsi="Times New Roman" w:cs="Times New Roman"/>
          <w:sz w:val="28"/>
          <w:szCs w:val="28"/>
        </w:rPr>
        <w:t xml:space="preserve"> на 2016 год и плановый    период 2017-2018 гг.</w:t>
      </w:r>
    </w:p>
    <w:p w:rsidR="006A2366" w:rsidRDefault="006A2366" w:rsidP="006A2366">
      <w:pPr>
        <w:pStyle w:val="a3"/>
        <w:ind w:firstLine="708"/>
        <w:jc w:val="both"/>
      </w:pPr>
      <w:r>
        <w:t>Параметры доходов бюджета сельского поселения на 2016 год и на период до 2018 года приведены в таблице 1.</w:t>
      </w:r>
    </w:p>
    <w:p w:rsidR="006A2366" w:rsidRDefault="006A2366" w:rsidP="006A2366">
      <w:pPr>
        <w:pStyle w:val="a3"/>
        <w:ind w:firstLine="708"/>
        <w:jc w:val="both"/>
      </w:pPr>
    </w:p>
    <w:p w:rsidR="006A2366" w:rsidRDefault="006A2366" w:rsidP="006A2366">
      <w:pPr>
        <w:pStyle w:val="a3"/>
        <w:ind w:firstLine="708"/>
        <w:jc w:val="right"/>
        <w:rPr>
          <w:szCs w:val="28"/>
        </w:rPr>
      </w:pPr>
    </w:p>
    <w:p w:rsidR="006A2366" w:rsidRDefault="006A2366" w:rsidP="006A236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Доходы бюджета  поселения в 2015-2018 годах</w:t>
      </w:r>
    </w:p>
    <w:p w:rsidR="006A2366" w:rsidRDefault="006A2366" w:rsidP="006A2366">
      <w:pPr>
        <w:pStyle w:val="a3"/>
        <w:ind w:firstLine="708"/>
        <w:jc w:val="right"/>
        <w:rPr>
          <w:szCs w:val="28"/>
        </w:rPr>
      </w:pPr>
      <w:r>
        <w:rPr>
          <w:szCs w:val="28"/>
        </w:rPr>
        <w:t>Таблица 1</w:t>
      </w:r>
    </w:p>
    <w:p w:rsidR="006A2366" w:rsidRDefault="006A2366" w:rsidP="006A2366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40"/>
        <w:gridCol w:w="1530"/>
        <w:gridCol w:w="1418"/>
        <w:gridCol w:w="1417"/>
        <w:gridCol w:w="1418"/>
      </w:tblGrid>
      <w:tr w:rsidR="006A2366" w:rsidTr="00BB029E">
        <w:trPr>
          <w:cantSplit/>
          <w:trHeight w:hRule="exact" w:val="332"/>
          <w:tblHeader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  <w:p w:rsidR="006A2366" w:rsidRDefault="006A2366" w:rsidP="00BB0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6A2366" w:rsidTr="00BB029E">
        <w:trPr>
          <w:cantSplit/>
          <w:tblHeader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6A2366" w:rsidTr="00BB029E">
        <w:trPr>
          <w:trHeight w:val="6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Доходы, 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ind w:right="-16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68522,05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33882,76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ConsCell"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30677,48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ConsCell"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31613,88</w:t>
            </w:r>
          </w:p>
        </w:tc>
      </w:tr>
      <w:tr w:rsidR="006A2366" w:rsidTr="00BB029E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</w:rPr>
              <w:t>30147,49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ConsCell"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ConsCell"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21036,8</w:t>
            </w:r>
          </w:p>
        </w:tc>
      </w:tr>
      <w:tr w:rsidR="006A2366" w:rsidTr="00BB029E">
        <w:trPr>
          <w:trHeight w:val="45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налоговые доходы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</w:rPr>
              <w:t>22847,7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13996,8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15203,1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16522,0</w:t>
            </w:r>
          </w:p>
        </w:tc>
      </w:tr>
      <w:tr w:rsidR="006A2366" w:rsidTr="00BB029E">
        <w:trPr>
          <w:trHeight w:val="39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66" w:rsidTr="00BB029E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9885,6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10890,9</w:t>
            </w:r>
          </w:p>
        </w:tc>
      </w:tr>
      <w:tr w:rsidR="006A2366" w:rsidTr="00BB029E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Единый сельскохозяйственный налог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A2366" w:rsidTr="00BB029E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537,4</w:t>
            </w:r>
          </w:p>
        </w:tc>
      </w:tr>
      <w:tr w:rsidR="006A2366" w:rsidTr="00BB029E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Земельный налог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10270,3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6241,7</w:t>
            </w:r>
          </w:p>
        </w:tc>
      </w:tr>
      <w:tr w:rsidR="006A2366" w:rsidTr="00BB029E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</w:rPr>
              <w:t>7299,79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1182,3</w:t>
            </w:r>
          </w:p>
        </w:tc>
      </w:tr>
      <w:tr w:rsidR="006A2366" w:rsidTr="00BB029E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ind w:left="-137"/>
              <w:jc w:val="center"/>
            </w:pPr>
            <w:r>
              <w:rPr>
                <w:rFonts w:ascii="Times New Roman" w:hAnsi="Times New Roman" w:cs="Times New Roman"/>
              </w:rPr>
              <w:t>38374,56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10743,88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10577,08</w:t>
            </w:r>
          </w:p>
        </w:tc>
      </w:tr>
    </w:tbl>
    <w:p w:rsidR="006A2366" w:rsidRDefault="006A2366" w:rsidP="006A236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</w:p>
    <w:p w:rsidR="006A2366" w:rsidRDefault="006A2366" w:rsidP="006A23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Общий объем доходов местного бюджета в 2016 году  имеет тенденцию к снижению за счет уменьшения доли безвозмездных поступлений на 62,9 %, а так же  сокращается доходная часть бюджета Сокурского сельсовета (собственные доходы) на 35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 По сравнению с ожидаемым исполнением бюджета сельского поселения в 2015 году, прогнозируемые в 2016 году налоговые и неналоговые  доходы уменьшатся на 10548,09 тыс.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уменьшения   объективна, т.к. поступлений по продаже земельных  участков в 2016 году не планируется. Наибольшая доля поступлений в общей сумме налоговых доходов поселения приходится на налог на доходы физических лиц (9729,8 тыс. рублей) и земельный налог (5721,7 тыс. рублей), которые, так же, прогнозируются с уменьшением.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2366" w:rsidRDefault="006A2366" w:rsidP="006A2366">
      <w:pPr>
        <w:jc w:val="both"/>
      </w:pPr>
    </w:p>
    <w:p w:rsidR="006A2366" w:rsidRDefault="006A2366" w:rsidP="006A23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Меры, направленные на извлечение дополнительных источников доходов и возмещению задолженности по налогам в местный бюджет.</w:t>
      </w:r>
    </w:p>
    <w:p w:rsidR="006A2366" w:rsidRDefault="006A2366" w:rsidP="006A236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2366" w:rsidRDefault="006A2366" w:rsidP="006A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Такие меры предусмотрены в основных направлениях бюджетной и налоговой политики на 2016-2018 года.  Методами их исполнения определены мониторинги предприятий и организаций по выявлению задолженности в бюджет, ужесточение контроля, проведение реструктуризации для  налогоплательщиков.</w:t>
      </w:r>
    </w:p>
    <w:p w:rsidR="006A2366" w:rsidRDefault="006A2366" w:rsidP="006A2366">
      <w:pPr>
        <w:rPr>
          <w:rFonts w:ascii="Times New Roman" w:hAnsi="Times New Roman" w:cs="Times New Roman"/>
          <w:lang w:eastAsia="ru-RU" w:bidi="ar-SA"/>
        </w:rPr>
      </w:pPr>
    </w:p>
    <w:p w:rsidR="006A2366" w:rsidRDefault="006A2366" w:rsidP="006A2366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Расходы бюджета:</w:t>
      </w:r>
    </w:p>
    <w:p w:rsidR="006A2366" w:rsidRDefault="006A2366" w:rsidP="006A2366">
      <w:r>
        <w:rPr>
          <w:rFonts w:ascii="Times New Roman" w:hAnsi="Times New Roman"/>
          <w:sz w:val="28"/>
          <w:szCs w:val="28"/>
        </w:rPr>
        <w:t xml:space="preserve">  </w:t>
      </w:r>
    </w:p>
    <w:p w:rsidR="006A2366" w:rsidRDefault="006A2366" w:rsidP="006A23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Структура расходов бюджета на 2016 год и на плановый период 2017 и 2018 годов приведена в Таблице 2</w:t>
      </w:r>
    </w:p>
    <w:p w:rsidR="006A2366" w:rsidRDefault="006A2366" w:rsidP="006A2366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6A2366" w:rsidRDefault="006A2366" w:rsidP="006A2366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6A2366" w:rsidRDefault="006A2366" w:rsidP="006A2366">
      <w:pPr>
        <w:pStyle w:val="Standard"/>
      </w:pPr>
    </w:p>
    <w:tbl>
      <w:tblPr>
        <w:tblW w:w="95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6"/>
        <w:gridCol w:w="1199"/>
        <w:gridCol w:w="930"/>
        <w:gridCol w:w="1320"/>
        <w:gridCol w:w="990"/>
        <w:gridCol w:w="1500"/>
        <w:gridCol w:w="990"/>
      </w:tblGrid>
      <w:tr w:rsidR="006A2366" w:rsidTr="00BB029E">
        <w:trPr>
          <w:trHeight w:val="352"/>
        </w:trPr>
        <w:tc>
          <w:tcPr>
            <w:tcW w:w="26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бюджета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2016г</w:t>
            </w:r>
          </w:p>
        </w:tc>
        <w:tc>
          <w:tcPr>
            <w:tcW w:w="2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2017г</w:t>
            </w:r>
          </w:p>
        </w:tc>
        <w:tc>
          <w:tcPr>
            <w:tcW w:w="2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2018г</w:t>
            </w:r>
          </w:p>
        </w:tc>
      </w:tr>
      <w:tr w:rsidR="006A2366" w:rsidTr="00BB029E">
        <w:trPr>
          <w:trHeight w:val="683"/>
        </w:trPr>
        <w:tc>
          <w:tcPr>
            <w:tcW w:w="26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/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</w:p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ес,%</w:t>
            </w:r>
          </w:p>
        </w:tc>
        <w:tc>
          <w:tcPr>
            <w:tcW w:w="1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</w:p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ес,%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</w:p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ес,%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бюджета, итого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34862,61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31674,16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32665,72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6A2366" w:rsidTr="00BB029E">
        <w:trPr>
          <w:trHeight w:val="653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6918,2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19,84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6638,8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20,96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6638,8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20,32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387,4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1,11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494,40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494,40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494,40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1,51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5337,37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15,31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4600,23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4600,23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14,08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9513,96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27,29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6863,33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21,67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6842,99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20,95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66,00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66,00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66,00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СМИ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11 488,30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32,95</w:t>
            </w:r>
          </w:p>
        </w:tc>
        <w:tc>
          <w:tcPr>
            <w:tcW w:w="1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11 488,30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32,27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11 488,30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35,17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255,00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412,0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0,92</w:t>
            </w:r>
          </w:p>
        </w:tc>
      </w:tr>
      <w:tr w:rsidR="006A2366" w:rsidTr="00BB029E">
        <w:trPr>
          <w:trHeight w:val="556"/>
        </w:trPr>
        <w:tc>
          <w:tcPr>
            <w:tcW w:w="2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1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968,1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3,06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1970,0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6,03</w:t>
            </w:r>
          </w:p>
        </w:tc>
      </w:tr>
    </w:tbl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Приоритет в распределении бюджетных ассигнований отдан следующим направлениям:</w:t>
      </w:r>
    </w:p>
    <w:p w:rsidR="006A2366" w:rsidRDefault="006A2366" w:rsidP="006A236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«Жилищно-коммунальное хозяйство»  9513,96 тыс. рублей  (27,29%);</w:t>
      </w:r>
    </w:p>
    <w:p w:rsidR="006A2366" w:rsidRDefault="006A2366" w:rsidP="006A2366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«Культура, СМИ» 11 488,30 тыс. рублей  (32,95%);</w:t>
      </w:r>
    </w:p>
    <w:p w:rsidR="006A2366" w:rsidRDefault="006A2366" w:rsidP="006A2366">
      <w:pPr>
        <w:pStyle w:val="Standard"/>
      </w:pPr>
      <w:r>
        <w:rPr>
          <w:rFonts w:ascii="Times New Roman" w:hAnsi="Times New Roman" w:cs="Times New Roman"/>
          <w:sz w:val="28"/>
        </w:rPr>
        <w:t xml:space="preserve">  - «Общегосударственные вопросы» 6918,2 тыс. рублей  (19,84%)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Бюджет Сокурского сельсовета на 2016 год и на плановый период 2017 и 2018годов планируется принять с дефицитом: </w:t>
      </w:r>
    </w:p>
    <w:p w:rsidR="006A2366" w:rsidRDefault="006A2366" w:rsidP="006A236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- 2016г. в сумме – 979,85 тыс. рублей (2,89%);</w:t>
      </w:r>
    </w:p>
    <w:p w:rsidR="006A2366" w:rsidRDefault="006A2366" w:rsidP="006A236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- 2017г. в сумме – 996,68 тыс. рублей (3,25);</w:t>
      </w:r>
    </w:p>
    <w:p w:rsidR="006A2366" w:rsidRDefault="006A2366" w:rsidP="006A236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- 2018г. в сумме – 1051,84 тыс. рублей (3,13%). </w:t>
      </w:r>
    </w:p>
    <w:p w:rsidR="006A2366" w:rsidRDefault="006A2366" w:rsidP="006A23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A2366" w:rsidRDefault="006A2366" w:rsidP="006A2366">
      <w:pPr>
        <w:rPr>
          <w:rFonts w:ascii="Times New Roman" w:hAnsi="Times New Roman"/>
          <w:sz w:val="28"/>
          <w:szCs w:val="28"/>
        </w:rPr>
      </w:pPr>
    </w:p>
    <w:p w:rsidR="006A2366" w:rsidRDefault="006A2366" w:rsidP="006A2366">
      <w:pPr>
        <w:rPr>
          <w:rFonts w:ascii="Times New Roman" w:hAnsi="Times New Roman"/>
          <w:sz w:val="28"/>
          <w:szCs w:val="28"/>
        </w:rPr>
      </w:pPr>
    </w:p>
    <w:p w:rsidR="006A2366" w:rsidRDefault="006A2366" w:rsidP="006A23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снижения расходов бюджета показана на примере 2016 года в таблице 3.</w:t>
      </w:r>
    </w:p>
    <w:p w:rsidR="006A2366" w:rsidRDefault="006A2366" w:rsidP="006A2366">
      <w:pPr>
        <w:rPr>
          <w:rFonts w:ascii="Times New Roman" w:hAnsi="Times New Roman"/>
          <w:sz w:val="28"/>
          <w:szCs w:val="28"/>
        </w:rPr>
      </w:pPr>
    </w:p>
    <w:p w:rsidR="006A2366" w:rsidRDefault="006A2366" w:rsidP="006A236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Таблица 3</w:t>
      </w:r>
    </w:p>
    <w:p w:rsidR="006A2366" w:rsidRDefault="006A2366" w:rsidP="006A2366">
      <w:pPr>
        <w:ind w:firstLine="708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Тыс. рублей</w:t>
      </w:r>
    </w:p>
    <w:tbl>
      <w:tblPr>
        <w:tblW w:w="10585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276"/>
        <w:gridCol w:w="1134"/>
        <w:gridCol w:w="1134"/>
        <w:gridCol w:w="1276"/>
        <w:gridCol w:w="1559"/>
        <w:gridCol w:w="1134"/>
        <w:gridCol w:w="378"/>
      </w:tblGrid>
      <w:tr w:rsidR="006A2366" w:rsidTr="00BB029E">
        <w:trPr>
          <w:cantSplit/>
          <w:trHeight w:hRule="exact"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2015 год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2016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Изменения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2366" w:rsidTr="00BB029E">
        <w:trPr>
          <w:cantSplit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Удель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:rsidR="006A2366" w:rsidRDefault="006A2366" w:rsidP="00BB029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вес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расхо-дах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Проект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Удель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:rsidR="006A2366" w:rsidRDefault="006A2366" w:rsidP="00BB029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вес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расхо-дах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(+,-)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%</w:t>
            </w: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A2366" w:rsidTr="00BB029E">
        <w:trPr>
          <w:trHeight w:val="276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Расходы бюджета,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69661,677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34862,61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-34799,067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- 50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отраслям: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Общегосударствен</w:t>
            </w:r>
            <w:proofErr w:type="spellEnd"/>
          </w:p>
          <w:p w:rsidR="006A2366" w:rsidRDefault="006A2366" w:rsidP="00BB029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8130,083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-1211,883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8,27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- 16,82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2280,558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5337,37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3056,812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134,04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43559,637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9513,96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27,29</w:t>
            </w:r>
          </w:p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-34045,677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- 78,16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13913,198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11488,3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-2424,898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- 17,43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366" w:rsidTr="00BB029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</w:t>
            </w:r>
          </w:p>
        </w:tc>
        <w:tc>
          <w:tcPr>
            <w:tcW w:w="378" w:type="dxa"/>
          </w:tcPr>
          <w:p w:rsidR="006A2366" w:rsidRDefault="006A2366" w:rsidP="00BB029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A2366" w:rsidRDefault="006A2366" w:rsidP="006A236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расходной части бюджета  соответствует требованиям законодательства. Распределение бюджетных ассигнований произведено по разделам, подразделам, целевым статьям и видам расходов. </w:t>
      </w:r>
    </w:p>
    <w:p w:rsidR="006A2366" w:rsidRDefault="006A2366" w:rsidP="006A2366">
      <w:pPr>
        <w:pStyle w:val="2"/>
        <w:ind w:left="0" w:firstLine="0"/>
        <w:jc w:val="both"/>
        <w:rPr>
          <w:szCs w:val="28"/>
        </w:rPr>
      </w:pPr>
      <w:r>
        <w:rPr>
          <w:szCs w:val="28"/>
        </w:rPr>
        <w:t xml:space="preserve">В расходной  части  бюджета на 2016 год большой удельный вес занимают расходы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: </w:t>
      </w:r>
    </w:p>
    <w:p w:rsidR="006A2366" w:rsidRDefault="006A2366" w:rsidP="006A2366">
      <w:pPr>
        <w:pStyle w:val="2"/>
        <w:widowControl w:val="0"/>
        <w:ind w:left="0" w:firstLine="0"/>
        <w:jc w:val="both"/>
      </w:pPr>
      <w:r>
        <w:rPr>
          <w:szCs w:val="28"/>
        </w:rPr>
        <w:t xml:space="preserve">- </w:t>
      </w:r>
      <w:r>
        <w:rPr>
          <w:b/>
          <w:szCs w:val="28"/>
        </w:rPr>
        <w:t>мероприятия по ГО и ЧС</w:t>
      </w:r>
      <w:r>
        <w:rPr>
          <w:szCs w:val="28"/>
        </w:rPr>
        <w:t xml:space="preserve"> –494,4 тыс. рублей. По данному разделу в 2016 году и плановом периоде 2017  и 2018 годы учтены бюджетные ассигнования на  расходы по подготовке (обучению) населения и организаций к действиям в чрезвычайной ситуации в мирное и военное время, на усиление мер по защите населения, на поддержку добровольной пожарной дружины; </w:t>
      </w:r>
    </w:p>
    <w:p w:rsidR="006A2366" w:rsidRDefault="006A2366" w:rsidP="006A2366">
      <w:pPr>
        <w:pStyle w:val="2"/>
        <w:widowControl w:val="0"/>
        <w:ind w:left="0" w:firstLine="0"/>
        <w:jc w:val="both"/>
      </w:pPr>
      <w:r>
        <w:rPr>
          <w:szCs w:val="28"/>
        </w:rPr>
        <w:t xml:space="preserve">- </w:t>
      </w:r>
      <w:r>
        <w:rPr>
          <w:b/>
          <w:szCs w:val="28"/>
        </w:rPr>
        <w:t>национальная экономика</w:t>
      </w:r>
      <w:r>
        <w:rPr>
          <w:szCs w:val="28"/>
        </w:rPr>
        <w:t xml:space="preserve"> – 5337,37 тыс. рублей. Расходные обязательства </w:t>
      </w:r>
      <w:r>
        <w:rPr>
          <w:szCs w:val="28"/>
        </w:rPr>
        <w:lastRenderedPageBreak/>
        <w:t>Сокурского сельсовета в области «Национальной экономики» предусмотрены одной долгосрочной целевой программой:</w:t>
      </w:r>
    </w:p>
    <w:p w:rsidR="006A2366" w:rsidRDefault="006A2366" w:rsidP="006A2366">
      <w:pPr>
        <w:pStyle w:val="2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«Развитие дорог регионального, межмуниципального и местного значения в Новосибирской области». Финансовое обеспечение данной целевой программы предусмотрено на 2016 год в сумме 5190,17 тыс. рублей, 2017 год – 4453,03 тыс. рублей, на 2018 год – 4453,03 тыс. рублей.</w:t>
      </w:r>
    </w:p>
    <w:p w:rsidR="006A2366" w:rsidRDefault="006A2366" w:rsidP="006A236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– 798,96 тыс. рублей. По данному разделу учтены расходы на оплату коммунальных услуг и расходы на взносы по капитальному ремонту многоквартирных домов в части содержания муниципального жилого фонда. На 2017 год предусмотрено финансирование в сумме 639,4 тыс. рублей, на 2018 год – 649,38 тыс. рублей.</w:t>
      </w:r>
    </w:p>
    <w:p w:rsidR="006A2366" w:rsidRDefault="006A2366" w:rsidP="006A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366" w:rsidRDefault="006A2366" w:rsidP="006A2366">
      <w:pPr>
        <w:pStyle w:val="2"/>
        <w:ind w:left="0" w:firstLine="0"/>
        <w:jc w:val="both"/>
      </w:pPr>
      <w:r>
        <w:rPr>
          <w:szCs w:val="28"/>
        </w:rPr>
        <w:t xml:space="preserve">- </w:t>
      </w:r>
      <w:r>
        <w:rPr>
          <w:b/>
          <w:szCs w:val="28"/>
        </w:rPr>
        <w:t>коммунальное хозяйство</w:t>
      </w:r>
      <w:r>
        <w:rPr>
          <w:szCs w:val="28"/>
        </w:rPr>
        <w:t xml:space="preserve"> –4035,0 тыс. рублей. По данному подразделу учтены расходы на проектирование, текущий ремонт и содержание объектов водоснабжения, теплоснабжения, коммунального хозяйства на территории  Сокурского сельсовета. На 2017 год запланировано – 2457,51 тыс. рублей, на 2018 год запланировано – 2892,61 тыс. рублей.</w:t>
      </w:r>
    </w:p>
    <w:p w:rsidR="006A2366" w:rsidRDefault="006A2366" w:rsidP="006A2366">
      <w:pPr>
        <w:pStyle w:val="a5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4650,0 тыс. рублей. По данному подразделу учтены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A2366" w:rsidRDefault="006A2366" w:rsidP="006A2366">
      <w:pPr>
        <w:pStyle w:val="a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«Уличное освещение»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2016 год запланировано в сумме  1000,0 тыс. рублей, на 2017 год – 400,0 тыс. рублей и на 2018 год – 440,0 тыс. рублей;</w:t>
      </w:r>
    </w:p>
    <w:p w:rsidR="006A2366" w:rsidRDefault="006A2366" w:rsidP="006A236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«Содержание автомобильных дорог» – 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2016 год запланировано в сумме  2750,0 тыс. руб., на 2017 год – 2700,0 тыс. рублей и на 2018 год – 2700,0 тыс. рублей</w:t>
      </w:r>
    </w:p>
    <w:p w:rsidR="006A2366" w:rsidRDefault="006A2366" w:rsidP="006A2366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«Прочие мероприятия по благоустройству» - на 2016 год запланировано в сумме  900,0 тыс. рублей, на 2017 год – 819,0 тыс. рублей и на 2018 год – 500,0 тыс. рублей;</w:t>
      </w:r>
    </w:p>
    <w:p w:rsidR="006A2366" w:rsidRDefault="006A2366" w:rsidP="006A236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культура и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– 11488,3 тыс. рублей. По данному разделу финансовое обеспечение предусмотрено на содержание учреждений культуры и создание условий для организации досуга и обеспечения жителей поселения услугами организаций культуры. На  2017  и 2018 годы предусмотрено 11488,3 тыс. рублей и 11488,3 тыс. рублей соответственно.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366" w:rsidRDefault="006A2366" w:rsidP="006A23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366" w:rsidRDefault="006A2366" w:rsidP="006A2366">
      <w:pPr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– 412,0 тыс. рублей. По данному разделу финансовое обеспечение предусмотрено на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на 2017 и 2018 годы предусмотрено по 300,0 тыс. рублей соответственно.</w:t>
      </w:r>
    </w:p>
    <w:p w:rsidR="006A2366" w:rsidRDefault="006A2366" w:rsidP="006A2366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2366" w:rsidRDefault="006A2366" w:rsidP="006A2366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Дефицит бюджета.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Предлагаемый размер дефицита бюджета на 2016-2018года не превышает 10 % общего годового объема доходов бюджета без учета безвозмездных поступлений, т.е. ограничение, установленное ст. 92  БК  РФ соблюдено.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Верхний предел муниципального долга, </w:t>
      </w:r>
      <w:proofErr w:type="gramStart"/>
      <w:r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к Решению, составляет на 01 января 2017г - 19599,4 тыс. рубл</w:t>
      </w:r>
      <w:r w:rsidR="00D326E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й, на 01 января 2018г — 19933,6 тыс. рублей, на 01 января 2019 г – 21036,8 тыс. рублей, что не превышает утвержденный общий годовой объем доходов местного бюджета и не  противоречит ст.107 БК РФ.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Условно утвержденные расходы.</w:t>
      </w:r>
    </w:p>
    <w:p w:rsidR="006A2366" w:rsidRDefault="006A2366" w:rsidP="006A2366">
      <w:pPr>
        <w:pStyle w:val="Standard"/>
        <w:jc w:val="both"/>
      </w:pPr>
    </w:p>
    <w:p w:rsidR="006A2366" w:rsidRDefault="006A2366" w:rsidP="006A2366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В соответствии с частью 3 статьи 184.1 БК РФ Решением о бюджете устанавливается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2,5% общего объема расходов бюджета, на второй год планового периода в объеме не менее 5% общего объема расходов бюджета.</w:t>
      </w:r>
      <w:proofErr w:type="gramEnd"/>
      <w:r>
        <w:rPr>
          <w:rFonts w:ascii="Times New Roman" w:hAnsi="Times New Roman" w:cs="Times New Roman"/>
          <w:sz w:val="28"/>
        </w:rPr>
        <w:t xml:space="preserve"> Объем условно утвержденных расходов, предусмотренных в Приложении № 4 к Решению, установлен на 2017 год в объеме 3,06 % общего объема расходов бюджета на 2017 год, на 2018 год — в объеме 6,03 % общего объема расходов бюджета на 2018 год, что </w:t>
      </w:r>
      <w:r>
        <w:rPr>
          <w:rFonts w:ascii="Times New Roman" w:hAnsi="Times New Roman" w:cs="Times New Roman"/>
          <w:iCs/>
          <w:sz w:val="28"/>
        </w:rPr>
        <w:t>соответствует требованиям ст.184 ч.3 БК РФ.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основном текстовая часть Проекта составлена в соответствии с общими положениями ст.184 БК РФ.</w:t>
      </w:r>
    </w:p>
    <w:p w:rsidR="006A2366" w:rsidRPr="00736147" w:rsidRDefault="006A2366" w:rsidP="006A2366">
      <w:pPr>
        <w:pStyle w:val="Standard"/>
        <w:jc w:val="both"/>
      </w:pPr>
      <w:r w:rsidRPr="004A26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26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Вывод:</w:t>
      </w:r>
    </w:p>
    <w:p w:rsidR="006A2366" w:rsidRDefault="006A2366" w:rsidP="006A2366">
      <w:pPr>
        <w:pStyle w:val="Standard"/>
        <w:jc w:val="both"/>
      </w:pPr>
    </w:p>
    <w:p w:rsidR="006A2366" w:rsidRDefault="006A2366" w:rsidP="006A236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 xml:space="preserve">По результатам экспертизы Контрольно-счетный орган рекомендует утвердить бюджет на 2016 год и плановый период 2017-2018 гг.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i/>
          <w:sz w:val="28"/>
        </w:rPr>
      </w:pP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i/>
          <w:sz w:val="28"/>
        </w:rPr>
      </w:pPr>
    </w:p>
    <w:p w:rsidR="006A2366" w:rsidRDefault="006A2366" w:rsidP="006A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Контрольно-счетного</w:t>
      </w:r>
      <w:proofErr w:type="gramEnd"/>
      <w:r>
        <w:rPr>
          <w:rFonts w:ascii="Times New Roman" w:hAnsi="Times New Roman" w:cs="Times New Roman"/>
        </w:rPr>
        <w:t xml:space="preserve">                      </w:t>
      </w:r>
    </w:p>
    <w:p w:rsidR="006A2366" w:rsidRDefault="006A2366" w:rsidP="006A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Сокурского сельсовета                   </w:t>
      </w:r>
    </w:p>
    <w:p w:rsidR="006A2366" w:rsidRDefault="006A2366" w:rsidP="006A2366">
      <w:r>
        <w:rPr>
          <w:rFonts w:ascii="Times New Roman" w:hAnsi="Times New Roman" w:cs="Times New Roman"/>
        </w:rPr>
        <w:t xml:space="preserve">Мошковского района НСО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D3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Александров                                      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Ознакомлены: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Сокурского сельсовета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Мошковского района                                                             П.</w:t>
      </w:r>
      <w:r w:rsidR="00D326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 w:rsidR="00D326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Дубовский</w:t>
      </w: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6A2366" w:rsidRDefault="006A2366" w:rsidP="006A2366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                                                                 Н.</w:t>
      </w:r>
      <w:r w:rsidR="00D326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Л.</w:t>
      </w:r>
      <w:r w:rsidR="00D326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Миняйло</w:t>
      </w:r>
    </w:p>
    <w:p w:rsidR="006A2366" w:rsidRDefault="006A2366" w:rsidP="006A2366">
      <w:pPr>
        <w:pStyle w:val="Standard"/>
        <w:ind w:firstLine="708"/>
        <w:jc w:val="both"/>
      </w:pPr>
    </w:p>
    <w:p w:rsidR="006A2366" w:rsidRDefault="006A2366" w:rsidP="006A2366">
      <w:pPr>
        <w:pStyle w:val="Standard"/>
        <w:ind w:firstLine="708"/>
        <w:jc w:val="both"/>
      </w:pPr>
    </w:p>
    <w:p w:rsidR="00DB2007" w:rsidRDefault="00DB2007">
      <w:bookmarkStart w:id="0" w:name="_GoBack"/>
      <w:bookmarkEnd w:id="0"/>
    </w:p>
    <w:sectPr w:rsidR="00DB2007" w:rsidSect="008D43D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2366"/>
    <w:rsid w:val="006A2366"/>
    <w:rsid w:val="008D43D9"/>
    <w:rsid w:val="00D326E7"/>
    <w:rsid w:val="00DB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3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36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6A23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customStyle="1" w:styleId="ConsCell">
    <w:name w:val="ConsCell"/>
    <w:rsid w:val="006A2366"/>
    <w:pPr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link w:val="a4"/>
    <w:rsid w:val="006A2366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6A23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6A2366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6A2366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6A2366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6A2366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3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36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6A23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customStyle="1" w:styleId="ConsCell">
    <w:name w:val="ConsCell"/>
    <w:rsid w:val="006A2366"/>
    <w:pPr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link w:val="a4"/>
    <w:rsid w:val="006A2366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6A23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6A2366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6A2366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6A2366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6A2366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Секретарь</cp:lastModifiedBy>
  <cp:revision>2</cp:revision>
  <dcterms:created xsi:type="dcterms:W3CDTF">2015-12-17T05:42:00Z</dcterms:created>
  <dcterms:modified xsi:type="dcterms:W3CDTF">2015-12-18T03:22:00Z</dcterms:modified>
</cp:coreProperties>
</file>