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41"/>
        <w:rPr>
          <w:rFonts w:ascii="Times New Roman"/>
        </w:rPr>
      </w:pPr>
      <w:r>
        <w:rPr>
          <w:rFonts w:ascii="Times New Roman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467.4pt;height:16.7pt;mso-position-horizontal-relative:char;mso-position-vertical-relative:line" type="#_x0000_t202" filled="true" fillcolor="#deeaf6" stroked="true" strokeweight=".48004pt" strokecolor="#000000">
            <w10:anchorlock/>
            <v:textbox inset="0,0,0,0">
              <w:txbxContent>
                <w:p>
                  <w:pPr>
                    <w:spacing w:before="0"/>
                    <w:ind w:left="3675" w:right="3675" w:firstLine="0"/>
                    <w:jc w:val="center"/>
                    <w:rPr>
                      <w:rFonts w:ascii="Times New Roman" w:hAnsi="Times New Roman"/>
                      <w:b/>
                      <w:sz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</w:rPr>
                    <w:t>ПОРТАЛ ЖКХ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Times New Roman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2"/>
        <w:rPr>
          <w:rFonts w:ascii="Times New Roman"/>
          <w:sz w:val="16"/>
        </w:rPr>
      </w:pPr>
    </w:p>
    <w:p>
      <w:pPr>
        <w:spacing w:before="101"/>
        <w:ind w:left="1433" w:right="919" w:firstLine="1817"/>
        <w:jc w:val="left"/>
        <w:rPr>
          <w:rFonts w:ascii="Tahoma" w:hAnsi="Tahoma"/>
          <w:i/>
          <w:sz w:val="29"/>
        </w:rPr>
      </w:pPr>
      <w:r>
        <w:rPr/>
        <w:drawing>
          <wp:anchor distT="0" distB="0" distL="0" distR="0" allowOverlap="1" layoutInCell="1" locked="0" behindDoc="1" simplePos="0" relativeHeight="268432439">
            <wp:simplePos x="0" y="0"/>
            <wp:positionH relativeFrom="page">
              <wp:posOffset>1578863</wp:posOffset>
            </wp:positionH>
            <wp:positionV relativeFrom="paragraph">
              <wp:posOffset>-826299</wp:posOffset>
            </wp:positionV>
            <wp:extent cx="1475232" cy="1075944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5232" cy="10759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hAnsi="Tahoma"/>
          <w:i/>
          <w:color w:val="B81212"/>
          <w:sz w:val="29"/>
        </w:rPr>
        <w:t>Новосибирцам рассказали, как получить компенсацию за коммуналку после роста тарифов</w:t>
      </w:r>
    </w:p>
    <w:p>
      <w:pPr>
        <w:pStyle w:val="BodyText"/>
        <w:spacing w:before="3"/>
        <w:rPr>
          <w:rFonts w:ascii="Tahoma"/>
          <w:i/>
          <w:sz w:val="30"/>
        </w:rPr>
      </w:pPr>
    </w:p>
    <w:p>
      <w:pPr>
        <w:pStyle w:val="Heading1"/>
        <w:ind w:right="152" w:firstLine="707"/>
      </w:pPr>
      <w:r>
        <w:rPr>
          <w:color w:val="2F2F2F"/>
        </w:rPr>
        <w:t>Получить</w:t>
      </w:r>
      <w:r>
        <w:rPr>
          <w:color w:val="2F2F2F"/>
          <w:spacing w:val="-8"/>
        </w:rPr>
        <w:t> </w:t>
      </w:r>
      <w:r>
        <w:rPr>
          <w:color w:val="2F2F2F"/>
        </w:rPr>
        <w:t>часть</w:t>
      </w:r>
      <w:r>
        <w:rPr>
          <w:color w:val="2F2F2F"/>
          <w:spacing w:val="-7"/>
        </w:rPr>
        <w:t> </w:t>
      </w:r>
      <w:r>
        <w:rPr>
          <w:color w:val="2F2F2F"/>
        </w:rPr>
        <w:t>денег,</w:t>
      </w:r>
      <w:r>
        <w:rPr>
          <w:color w:val="2F2F2F"/>
          <w:spacing w:val="-6"/>
        </w:rPr>
        <w:t> </w:t>
      </w:r>
      <w:r>
        <w:rPr>
          <w:color w:val="2F2F2F"/>
        </w:rPr>
        <w:t>потраченных</w:t>
      </w:r>
      <w:r>
        <w:rPr>
          <w:color w:val="2F2F2F"/>
          <w:spacing w:val="-6"/>
        </w:rPr>
        <w:t> </w:t>
      </w:r>
      <w:r>
        <w:rPr>
          <w:color w:val="2F2F2F"/>
        </w:rPr>
        <w:t>на</w:t>
      </w:r>
      <w:r>
        <w:rPr>
          <w:color w:val="2F2F2F"/>
          <w:spacing w:val="-7"/>
        </w:rPr>
        <w:t> </w:t>
      </w:r>
      <w:r>
        <w:rPr>
          <w:color w:val="2F2F2F"/>
        </w:rPr>
        <w:t>оплату</w:t>
      </w:r>
      <w:r>
        <w:rPr>
          <w:color w:val="2F2F2F"/>
          <w:spacing w:val="-11"/>
        </w:rPr>
        <w:t> </w:t>
      </w:r>
      <w:r>
        <w:rPr>
          <w:color w:val="2F2F2F"/>
        </w:rPr>
        <w:t>коммунальных</w:t>
      </w:r>
      <w:r>
        <w:rPr>
          <w:color w:val="2F2F2F"/>
          <w:spacing w:val="-2"/>
        </w:rPr>
        <w:t> </w:t>
      </w:r>
      <w:r>
        <w:rPr>
          <w:color w:val="2F2F2F"/>
        </w:rPr>
        <w:t>услуг,</w:t>
      </w:r>
      <w:r>
        <w:rPr>
          <w:color w:val="2F2F2F"/>
          <w:spacing w:val="-6"/>
        </w:rPr>
        <w:t> </w:t>
      </w:r>
      <w:r>
        <w:rPr>
          <w:color w:val="2F2F2F"/>
        </w:rPr>
        <w:t>с</w:t>
      </w:r>
      <w:r>
        <w:rPr>
          <w:color w:val="2F2F2F"/>
          <w:spacing w:val="-7"/>
        </w:rPr>
        <w:t> </w:t>
      </w:r>
      <w:r>
        <w:rPr>
          <w:color w:val="2F2F2F"/>
        </w:rPr>
        <w:t>августа 2017 года смогут все жители Новосибирской области, в том числе те, у кого нет льгот, заверяют в правительстве региона. Для этого нужно только заявить об этом желании, собрать нужные документы, обратиться в отдел пособий и социальных выплат и пожаловаться на свою судьбу. Об этом рассказала исполняющая обязанности министра социального развития Новосибирской области Елена Бахарева в пресс-центре ТАСС 28</w:t>
      </w:r>
      <w:r>
        <w:rPr>
          <w:color w:val="2F2F2F"/>
          <w:spacing w:val="-4"/>
        </w:rPr>
        <w:t> </w:t>
      </w:r>
      <w:r>
        <w:rPr>
          <w:color w:val="2F2F2F"/>
        </w:rPr>
        <w:t>февраля.</w:t>
      </w:r>
    </w:p>
    <w:p>
      <w:pPr>
        <w:spacing w:before="161"/>
        <w:ind w:left="142" w:right="148" w:firstLine="70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Она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уточнила,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что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гражданам</w:t>
      </w:r>
      <w:r>
        <w:rPr>
          <w:rFonts w:ascii="Times New Roman" w:hAnsi="Times New Roman"/>
          <w:spacing w:val="-10"/>
          <w:sz w:val="26"/>
        </w:rPr>
        <w:t> </w:t>
      </w:r>
      <w:r>
        <w:rPr>
          <w:rFonts w:ascii="Times New Roman" w:hAnsi="Times New Roman"/>
          <w:sz w:val="26"/>
        </w:rPr>
        <w:t>правительство</w:t>
      </w:r>
      <w:r>
        <w:rPr>
          <w:rFonts w:ascii="Times New Roman" w:hAnsi="Times New Roman"/>
          <w:spacing w:val="-9"/>
          <w:sz w:val="26"/>
        </w:rPr>
        <w:t> </w:t>
      </w:r>
      <w:r>
        <w:rPr>
          <w:rFonts w:ascii="Times New Roman" w:hAnsi="Times New Roman"/>
          <w:sz w:val="26"/>
        </w:rPr>
        <w:t>вернет</w:t>
      </w:r>
      <w:r>
        <w:rPr>
          <w:rFonts w:ascii="Times New Roman" w:hAnsi="Times New Roman"/>
          <w:spacing w:val="-9"/>
          <w:sz w:val="26"/>
        </w:rPr>
        <w:t> </w:t>
      </w:r>
      <w:r>
        <w:rPr>
          <w:rFonts w:ascii="Times New Roman" w:hAnsi="Times New Roman"/>
          <w:sz w:val="26"/>
        </w:rPr>
        <w:t>не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все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деньги,</w:t>
      </w:r>
      <w:r>
        <w:rPr>
          <w:rFonts w:ascii="Times New Roman" w:hAnsi="Times New Roman"/>
          <w:spacing w:val="-9"/>
          <w:sz w:val="26"/>
        </w:rPr>
        <w:t> </w:t>
      </w:r>
      <w:r>
        <w:rPr>
          <w:rFonts w:ascii="Times New Roman" w:hAnsi="Times New Roman"/>
          <w:sz w:val="26"/>
        </w:rPr>
        <w:t>а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только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ту часть, что сверх федеральной 4-процентной</w:t>
      </w:r>
      <w:r>
        <w:rPr>
          <w:rFonts w:ascii="Times New Roman" w:hAnsi="Times New Roman"/>
          <w:spacing w:val="-3"/>
          <w:sz w:val="26"/>
        </w:rPr>
        <w:t> </w:t>
      </w:r>
      <w:r>
        <w:rPr>
          <w:rFonts w:ascii="Times New Roman" w:hAnsi="Times New Roman"/>
          <w:sz w:val="26"/>
        </w:rPr>
        <w:t>«наценки».</w:t>
      </w:r>
    </w:p>
    <w:p>
      <w:pPr>
        <w:spacing w:before="0"/>
        <w:ind w:left="142" w:right="149" w:firstLine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По словам Елены Бахаревой, адресная социальная выплата, связанная повышением на 15% платы за тепло, воду, свет и газ с 1 июля 2017, – это новая для областной администрации задача. Действовать выплата начнет одновременно с повышением тарифов, которое для разных муниципальных образований не будет одинаковым.</w:t>
      </w:r>
    </w:p>
    <w:p>
      <w:pPr>
        <w:spacing w:before="0"/>
        <w:ind w:left="142" w:right="150" w:firstLine="64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«Есть районы, где повышение тарифов не превысит назначенных федеральным правительством</w:t>
      </w:r>
      <w:r>
        <w:rPr>
          <w:rFonts w:ascii="Times New Roman" w:hAnsi="Times New Roman"/>
          <w:spacing w:val="-9"/>
          <w:sz w:val="26"/>
        </w:rPr>
        <w:t> </w:t>
      </w:r>
      <w:r>
        <w:rPr>
          <w:rFonts w:ascii="Times New Roman" w:hAnsi="Times New Roman"/>
          <w:sz w:val="26"/>
        </w:rPr>
        <w:t>4%.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А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есть</w:t>
      </w:r>
      <w:r>
        <w:rPr>
          <w:rFonts w:ascii="Times New Roman" w:hAnsi="Times New Roman"/>
          <w:spacing w:val="-6"/>
          <w:sz w:val="26"/>
        </w:rPr>
        <w:t> </w:t>
      </w:r>
      <w:r>
        <w:rPr>
          <w:rFonts w:ascii="Times New Roman" w:hAnsi="Times New Roman"/>
          <w:sz w:val="26"/>
        </w:rPr>
        <w:t>муниципальные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образования,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и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Новосибирск</w:t>
      </w:r>
      <w:r>
        <w:rPr>
          <w:rFonts w:ascii="Times New Roman" w:hAnsi="Times New Roman"/>
          <w:spacing w:val="-9"/>
          <w:sz w:val="26"/>
        </w:rPr>
        <w:t> </w:t>
      </w:r>
      <w:r>
        <w:rPr>
          <w:rFonts w:ascii="Times New Roman" w:hAnsi="Times New Roman"/>
          <w:sz w:val="26"/>
        </w:rPr>
        <w:t>в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их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числе, где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повышение</w:t>
      </w:r>
      <w:r>
        <w:rPr>
          <w:rFonts w:ascii="Times New Roman" w:hAnsi="Times New Roman"/>
          <w:spacing w:val="-6"/>
          <w:sz w:val="26"/>
        </w:rPr>
        <w:t> </w:t>
      </w:r>
      <w:r>
        <w:rPr>
          <w:rFonts w:ascii="Times New Roman" w:hAnsi="Times New Roman"/>
          <w:sz w:val="26"/>
        </w:rPr>
        <w:t>составит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15%.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В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тех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районах,</w:t>
      </w:r>
      <w:r>
        <w:rPr>
          <w:rFonts w:ascii="Times New Roman" w:hAnsi="Times New Roman"/>
          <w:spacing w:val="-6"/>
          <w:sz w:val="26"/>
        </w:rPr>
        <w:t> </w:t>
      </w:r>
      <w:r>
        <w:rPr>
          <w:rFonts w:ascii="Times New Roman" w:hAnsi="Times New Roman"/>
          <w:sz w:val="26"/>
        </w:rPr>
        <w:t>где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повышение</w:t>
      </w:r>
      <w:r>
        <w:rPr>
          <w:rFonts w:ascii="Times New Roman" w:hAnsi="Times New Roman"/>
          <w:spacing w:val="-6"/>
          <w:sz w:val="26"/>
        </w:rPr>
        <w:t> </w:t>
      </w:r>
      <w:r>
        <w:rPr>
          <w:rFonts w:ascii="Times New Roman" w:hAnsi="Times New Roman"/>
          <w:sz w:val="26"/>
        </w:rPr>
        <w:t>составило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не</w:t>
      </w:r>
      <w:r>
        <w:rPr>
          <w:rFonts w:ascii="Times New Roman" w:hAnsi="Times New Roman"/>
          <w:spacing w:val="-4"/>
          <w:sz w:val="26"/>
        </w:rPr>
        <w:t> </w:t>
      </w:r>
      <w:r>
        <w:rPr>
          <w:rFonts w:ascii="Times New Roman" w:hAnsi="Times New Roman"/>
          <w:sz w:val="26"/>
        </w:rPr>
        <w:t>4%,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а</w:t>
      </w:r>
      <w:r>
        <w:rPr>
          <w:rFonts w:ascii="Times New Roman" w:hAnsi="Times New Roman"/>
          <w:spacing w:val="-4"/>
          <w:sz w:val="26"/>
        </w:rPr>
        <w:t> </w:t>
      </w:r>
      <w:r>
        <w:rPr>
          <w:rFonts w:ascii="Times New Roman" w:hAnsi="Times New Roman"/>
          <w:sz w:val="26"/>
        </w:rPr>
        <w:t>5%, компенсирован</w:t>
      </w:r>
      <w:r>
        <w:rPr>
          <w:rFonts w:ascii="Times New Roman" w:hAnsi="Times New Roman"/>
          <w:spacing w:val="-6"/>
          <w:sz w:val="26"/>
        </w:rPr>
        <w:t> </w:t>
      </w:r>
      <w:r>
        <w:rPr>
          <w:rFonts w:ascii="Times New Roman" w:hAnsi="Times New Roman"/>
          <w:sz w:val="26"/>
        </w:rPr>
        <w:t>будет</w:t>
      </w:r>
      <w:r>
        <w:rPr>
          <w:rFonts w:ascii="Times New Roman" w:hAnsi="Times New Roman"/>
          <w:spacing w:val="-3"/>
          <w:sz w:val="26"/>
        </w:rPr>
        <w:t> </w:t>
      </w:r>
      <w:r>
        <w:rPr>
          <w:rFonts w:ascii="Times New Roman" w:hAnsi="Times New Roman"/>
          <w:sz w:val="26"/>
        </w:rPr>
        <w:t>1%,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если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же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повышение</w:t>
      </w:r>
      <w:r>
        <w:rPr>
          <w:rFonts w:ascii="Times New Roman" w:hAnsi="Times New Roman"/>
          <w:spacing w:val="-4"/>
          <w:sz w:val="26"/>
        </w:rPr>
        <w:t> </w:t>
      </w:r>
      <w:r>
        <w:rPr>
          <w:rFonts w:ascii="Times New Roman" w:hAnsi="Times New Roman"/>
          <w:sz w:val="26"/>
        </w:rPr>
        <w:t>–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15%,</w:t>
      </w:r>
      <w:r>
        <w:rPr>
          <w:rFonts w:ascii="Times New Roman" w:hAnsi="Times New Roman"/>
          <w:spacing w:val="-8"/>
          <w:sz w:val="26"/>
        </w:rPr>
        <w:t> </w:t>
      </w:r>
      <w:r>
        <w:rPr>
          <w:rFonts w:ascii="Times New Roman" w:hAnsi="Times New Roman"/>
          <w:sz w:val="26"/>
        </w:rPr>
        <w:t>то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компенсация</w:t>
      </w:r>
      <w:r>
        <w:rPr>
          <w:rFonts w:ascii="Times New Roman" w:hAnsi="Times New Roman"/>
          <w:spacing w:val="-7"/>
          <w:sz w:val="26"/>
        </w:rPr>
        <w:t> </w:t>
      </w:r>
      <w:r>
        <w:rPr>
          <w:rFonts w:ascii="Times New Roman" w:hAnsi="Times New Roman"/>
          <w:sz w:val="26"/>
        </w:rPr>
        <w:t>будет</w:t>
      </w:r>
      <w:r>
        <w:rPr>
          <w:rFonts w:ascii="Times New Roman" w:hAnsi="Times New Roman"/>
          <w:spacing w:val="-6"/>
          <w:sz w:val="26"/>
        </w:rPr>
        <w:t> </w:t>
      </w:r>
      <w:r>
        <w:rPr>
          <w:rFonts w:ascii="Times New Roman" w:hAnsi="Times New Roman"/>
          <w:sz w:val="26"/>
        </w:rPr>
        <w:t>11%.</w:t>
      </w:r>
      <w:r>
        <w:rPr>
          <w:rFonts w:ascii="Times New Roman" w:hAnsi="Times New Roman"/>
          <w:spacing w:val="-5"/>
          <w:sz w:val="26"/>
        </w:rPr>
        <w:t> </w:t>
      </w:r>
      <w:r>
        <w:rPr>
          <w:rFonts w:ascii="Times New Roman" w:hAnsi="Times New Roman"/>
          <w:sz w:val="26"/>
        </w:rPr>
        <w:t>То есть</w:t>
      </w:r>
      <w:r>
        <w:rPr>
          <w:rFonts w:ascii="Times New Roman" w:hAnsi="Times New Roman"/>
          <w:spacing w:val="-16"/>
          <w:sz w:val="26"/>
        </w:rPr>
        <w:t> </w:t>
      </w:r>
      <w:r>
        <w:rPr>
          <w:rFonts w:ascii="Times New Roman" w:hAnsi="Times New Roman"/>
          <w:sz w:val="26"/>
        </w:rPr>
        <w:t>из</w:t>
      </w:r>
      <w:r>
        <w:rPr>
          <w:rFonts w:ascii="Times New Roman" w:hAnsi="Times New Roman"/>
          <w:spacing w:val="-12"/>
          <w:sz w:val="26"/>
        </w:rPr>
        <w:t> </w:t>
      </w:r>
      <w:r>
        <w:rPr>
          <w:rFonts w:ascii="Times New Roman" w:hAnsi="Times New Roman"/>
          <w:sz w:val="26"/>
        </w:rPr>
        <w:t>областного</w:t>
      </w:r>
      <w:r>
        <w:rPr>
          <w:rFonts w:ascii="Times New Roman" w:hAnsi="Times New Roman"/>
          <w:spacing w:val="-14"/>
          <w:sz w:val="26"/>
        </w:rPr>
        <w:t> </w:t>
      </w:r>
      <w:r>
        <w:rPr>
          <w:rFonts w:ascii="Times New Roman" w:hAnsi="Times New Roman"/>
          <w:sz w:val="26"/>
        </w:rPr>
        <w:t>бюджета</w:t>
      </w:r>
      <w:r>
        <w:rPr>
          <w:rFonts w:ascii="Times New Roman" w:hAnsi="Times New Roman"/>
          <w:spacing w:val="-16"/>
          <w:sz w:val="26"/>
        </w:rPr>
        <w:t> </w:t>
      </w:r>
      <w:r>
        <w:rPr>
          <w:rFonts w:ascii="Times New Roman" w:hAnsi="Times New Roman"/>
          <w:sz w:val="26"/>
        </w:rPr>
        <w:t>возвращается</w:t>
      </w:r>
      <w:r>
        <w:rPr>
          <w:rFonts w:ascii="Times New Roman" w:hAnsi="Times New Roman"/>
          <w:spacing w:val="-11"/>
          <w:sz w:val="26"/>
        </w:rPr>
        <w:t> </w:t>
      </w:r>
      <w:r>
        <w:rPr>
          <w:rFonts w:ascii="Times New Roman" w:hAnsi="Times New Roman"/>
          <w:sz w:val="26"/>
        </w:rPr>
        <w:t>то,</w:t>
      </w:r>
      <w:r>
        <w:rPr>
          <w:rFonts w:ascii="Times New Roman" w:hAnsi="Times New Roman"/>
          <w:spacing w:val="-16"/>
          <w:sz w:val="26"/>
        </w:rPr>
        <w:t> </w:t>
      </w:r>
      <w:r>
        <w:rPr>
          <w:rFonts w:ascii="Times New Roman" w:hAnsi="Times New Roman"/>
          <w:sz w:val="26"/>
        </w:rPr>
        <w:t>что</w:t>
      </w:r>
      <w:r>
        <w:rPr>
          <w:rFonts w:ascii="Times New Roman" w:hAnsi="Times New Roman"/>
          <w:spacing w:val="-16"/>
          <w:sz w:val="26"/>
        </w:rPr>
        <w:t> </w:t>
      </w:r>
      <w:r>
        <w:rPr>
          <w:rFonts w:ascii="Times New Roman" w:hAnsi="Times New Roman"/>
          <w:sz w:val="26"/>
        </w:rPr>
        <w:t>больше</w:t>
      </w:r>
      <w:r>
        <w:rPr>
          <w:rFonts w:ascii="Times New Roman" w:hAnsi="Times New Roman"/>
          <w:spacing w:val="-13"/>
          <w:sz w:val="26"/>
        </w:rPr>
        <w:t> </w:t>
      </w:r>
      <w:r>
        <w:rPr>
          <w:rFonts w:ascii="Times New Roman" w:hAnsi="Times New Roman"/>
          <w:sz w:val="26"/>
        </w:rPr>
        <w:t>федеральной</w:t>
      </w:r>
      <w:r>
        <w:rPr>
          <w:rFonts w:ascii="Times New Roman" w:hAnsi="Times New Roman"/>
          <w:spacing w:val="-15"/>
          <w:sz w:val="26"/>
        </w:rPr>
        <w:t> </w:t>
      </w:r>
      <w:r>
        <w:rPr>
          <w:rFonts w:ascii="Times New Roman" w:hAnsi="Times New Roman"/>
          <w:sz w:val="26"/>
        </w:rPr>
        <w:t>индексации»,</w:t>
      </w:r>
    </w:p>
    <w:p>
      <w:pPr>
        <w:spacing w:before="0"/>
        <w:ind w:left="142" w:right="0" w:firstLine="0"/>
        <w:jc w:val="left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– разъяснила Елена Бахарева.</w:t>
      </w:r>
    </w:p>
    <w:p>
      <w:pPr>
        <w:spacing w:before="159"/>
        <w:ind w:left="142" w:right="154" w:firstLine="70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Такую «полную» компенсацию расходов автоматически получат только льготники, которых в регионе 500 тысяч человек.</w:t>
      </w:r>
    </w:p>
    <w:p>
      <w:pPr>
        <w:spacing w:before="0"/>
        <w:ind w:left="142" w:right="149" w:firstLine="0"/>
        <w:jc w:val="both"/>
        <w:rPr>
          <w:rFonts w:ascii="Times New Roman" w:hAnsi="Times New Roman"/>
          <w:sz w:val="26"/>
        </w:rPr>
      </w:pPr>
      <w:hyperlink r:id="rId6">
        <w:r>
          <w:rPr>
            <w:rFonts w:ascii="Times New Roman" w:hAnsi="Times New Roman"/>
            <w:color w:val="3E9E8F"/>
            <w:spacing w:val="-65"/>
            <w:w w:val="99"/>
            <w:sz w:val="26"/>
            <w:u w:val="single" w:color="3E9E8F"/>
          </w:rPr>
          <w:t> </w:t>
        </w:r>
        <w:r>
          <w:rPr>
            <w:rFonts w:ascii="Times New Roman" w:hAnsi="Times New Roman"/>
            <w:color w:val="3E9E8F"/>
            <w:sz w:val="26"/>
            <w:u w:val="single" w:color="3E9E8F"/>
          </w:rPr>
          <w:t>Но вернуть часть денег смогут и все остальные новосибирцы</w:t>
        </w:r>
        <w:r>
          <w:rPr>
            <w:rFonts w:ascii="Times New Roman" w:hAnsi="Times New Roman"/>
            <w:color w:val="3E9E8F"/>
            <w:sz w:val="26"/>
          </w:rPr>
          <w:t> </w:t>
        </w:r>
      </w:hyperlink>
      <w:r>
        <w:rPr>
          <w:rFonts w:ascii="Times New Roman" w:hAnsi="Times New Roman"/>
          <w:sz w:val="26"/>
        </w:rPr>
        <w:t>вне зависимости от уровня доходов, занятости, также пола, возраста и вероисповедания. Надо только быть «аборигеном».</w:t>
      </w:r>
    </w:p>
    <w:p>
      <w:pPr>
        <w:pStyle w:val="BodyText"/>
        <w:rPr>
          <w:rFonts w:ascii="Times New Roman"/>
          <w:sz w:val="28"/>
        </w:rPr>
      </w:pPr>
    </w:p>
    <w:p>
      <w:pPr>
        <w:spacing w:before="225"/>
        <w:ind w:left="141" w:right="0" w:firstLine="0"/>
        <w:jc w:val="left"/>
        <w:rPr>
          <w:rFonts w:ascii="Times New Roman" w:hAnsi="Times New Roman"/>
          <w:b/>
          <w:sz w:val="28"/>
        </w:rPr>
      </w:pPr>
      <w:r>
        <w:rPr/>
        <w:drawing>
          <wp:inline distT="0" distB="0" distL="0" distR="0">
            <wp:extent cx="1751076" cy="1167383"/>
            <wp:effectExtent l="0" t="0" r="0" b="0"/>
            <wp:docPr id="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076" cy="1167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  <w:r>
        <w:rPr>
          <w:rFonts w:ascii="Times New Roman" w:hAnsi="Times New Roman"/>
          <w:sz w:val="20"/>
        </w:rPr>
        <w:t>              </w:t>
      </w:r>
      <w:r>
        <w:rPr>
          <w:rFonts w:ascii="Times New Roman" w:hAnsi="Times New Roman"/>
          <w:spacing w:val="-10"/>
          <w:sz w:val="20"/>
        </w:rPr>
        <w:t> </w:t>
      </w:r>
      <w:r>
        <w:rPr>
          <w:rFonts w:ascii="Times New Roman" w:hAnsi="Times New Roman"/>
          <w:b/>
          <w:sz w:val="28"/>
        </w:rPr>
        <w:t>Как получить</w:t>
      </w:r>
      <w:r>
        <w:rPr>
          <w:rFonts w:ascii="Times New Roman" w:hAnsi="Times New Roman"/>
          <w:b/>
          <w:spacing w:val="-2"/>
          <w:sz w:val="28"/>
        </w:rPr>
        <w:t> </w:t>
      </w:r>
      <w:r>
        <w:rPr>
          <w:rFonts w:ascii="Times New Roman" w:hAnsi="Times New Roman"/>
          <w:b/>
          <w:sz w:val="28"/>
        </w:rPr>
        <w:t>компенсацию</w:t>
      </w:r>
    </w:p>
    <w:p>
      <w:pPr>
        <w:pStyle w:val="Heading2"/>
        <w:spacing w:line="276" w:lineRule="auto" w:before="287"/>
        <w:ind w:right="146"/>
      </w:pPr>
      <w:r>
        <w:rPr/>
        <w:t>Бахарева уточняет, жителям региона, которые не относятся к числу льготников, для получения компенсации необходимо выполнить несколько обязательных условий.</w:t>
      </w:r>
    </w:p>
    <w:p>
      <w:pPr>
        <w:spacing w:after="0" w:line="276" w:lineRule="auto"/>
        <w:sectPr>
          <w:type w:val="continuous"/>
          <w:pgSz w:w="11910" w:h="16840"/>
          <w:pgMar w:top="1300" w:bottom="280" w:left="1560" w:right="700"/>
        </w:sectPr>
      </w:pPr>
    </w:p>
    <w:p>
      <w:pPr>
        <w:spacing w:line="276" w:lineRule="auto" w:before="68"/>
        <w:ind w:left="142" w:right="145" w:firstLine="0"/>
        <w:jc w:val="both"/>
        <w:rPr>
          <w:rFonts w:ascii="Times New Roman" w:hAnsi="Times New Roman"/>
          <w:sz w:val="24"/>
        </w:rPr>
      </w:pPr>
      <w:r>
        <w:rPr/>
        <w:pict>
          <v:shape style="position:absolute;margin-left:83.664001pt;margin-top:3.683073pt;width:470.75pt;height:111.15pt;mso-position-horizontal-relative:page;mso-position-vertical-relative:paragraph;z-index:-2992" coordorigin="1673,74" coordsize="9415,2223" path="m11087,74l1673,74,1673,393,1673,393,1673,2296,11087,2296,11087,393,11087,74e" filled="true" fillcolor="#ecf9f8" stroked="false">
            <v:path arrowok="t"/>
            <v:fill type="solid"/>
            <w10:wrap type="none"/>
          </v:shape>
        </w:pict>
      </w:r>
      <w:r>
        <w:rPr>
          <w:rFonts w:ascii="Times New Roman" w:hAnsi="Times New Roman"/>
          <w:spacing w:val="-3"/>
          <w:sz w:val="24"/>
        </w:rPr>
        <w:t>«Нужно </w:t>
      </w:r>
      <w:r>
        <w:rPr>
          <w:rFonts w:ascii="Times New Roman" w:hAnsi="Times New Roman"/>
          <w:sz w:val="24"/>
        </w:rPr>
        <w:t>в августе единожды прийти в отдел пособий и социальных выплат и предоставить небольшой пакет документов, который подтверждает сам факт проживания человека на территории Новосибирской области, факт внесения им оплаты за услуги и отсутствия задолженности. Это документ, который будут выдавать управляющие компании. Также необходим документ, подтверждающий право проживать на конкретной жилплощади, например</w:t>
      </w:r>
      <w:r>
        <w:rPr>
          <w:rFonts w:ascii="Times New Roman" w:hAnsi="Times New Roman"/>
          <w:spacing w:val="-6"/>
          <w:sz w:val="24"/>
        </w:rPr>
        <w:t> </w:t>
      </w:r>
      <w:r>
        <w:rPr>
          <w:rFonts w:ascii="Times New Roman" w:hAnsi="Times New Roman"/>
          <w:sz w:val="24"/>
        </w:rPr>
        <w:t>договор</w:t>
      </w:r>
      <w:r>
        <w:rPr>
          <w:rFonts w:ascii="Times New Roman" w:hAnsi="Times New Roman"/>
          <w:spacing w:val="-6"/>
          <w:sz w:val="24"/>
        </w:rPr>
        <w:t> </w:t>
      </w:r>
      <w:r>
        <w:rPr>
          <w:rFonts w:ascii="Times New Roman" w:hAnsi="Times New Roman"/>
          <w:sz w:val="24"/>
        </w:rPr>
        <w:t>социального</w:t>
      </w:r>
      <w:r>
        <w:rPr>
          <w:rFonts w:ascii="Times New Roman" w:hAnsi="Times New Roman"/>
          <w:spacing w:val="-6"/>
          <w:sz w:val="24"/>
        </w:rPr>
        <w:t> </w:t>
      </w:r>
      <w:r>
        <w:rPr>
          <w:rFonts w:ascii="Times New Roman" w:hAnsi="Times New Roman"/>
          <w:sz w:val="24"/>
        </w:rPr>
        <w:t>найма</w:t>
      </w:r>
      <w:r>
        <w:rPr>
          <w:rFonts w:ascii="Times New Roman" w:hAnsi="Times New Roman"/>
          <w:spacing w:val="-9"/>
          <w:sz w:val="24"/>
        </w:rPr>
        <w:t> </w:t>
      </w:r>
      <w:r>
        <w:rPr>
          <w:rFonts w:ascii="Times New Roman" w:hAnsi="Times New Roman"/>
          <w:sz w:val="24"/>
        </w:rPr>
        <w:t>или</w:t>
      </w:r>
      <w:r>
        <w:rPr>
          <w:rFonts w:ascii="Times New Roman" w:hAnsi="Times New Roman"/>
          <w:spacing w:val="-7"/>
          <w:sz w:val="24"/>
        </w:rPr>
        <w:t> </w:t>
      </w:r>
      <w:r>
        <w:rPr>
          <w:rFonts w:ascii="Times New Roman" w:hAnsi="Times New Roman"/>
          <w:sz w:val="24"/>
        </w:rPr>
        <w:t>свидетельство</w:t>
      </w:r>
      <w:r>
        <w:rPr>
          <w:rFonts w:ascii="Times New Roman" w:hAnsi="Times New Roman"/>
          <w:spacing w:val="-6"/>
          <w:sz w:val="24"/>
        </w:rPr>
        <w:t> </w:t>
      </w:r>
      <w:r>
        <w:rPr>
          <w:rFonts w:ascii="Times New Roman" w:hAnsi="Times New Roman"/>
          <w:sz w:val="24"/>
        </w:rPr>
        <w:t>права</w:t>
      </w:r>
      <w:r>
        <w:rPr>
          <w:rFonts w:ascii="Times New Roman" w:hAnsi="Times New Roman"/>
          <w:spacing w:val="-7"/>
          <w:sz w:val="24"/>
        </w:rPr>
        <w:t> </w:t>
      </w:r>
      <w:r>
        <w:rPr>
          <w:rFonts w:ascii="Times New Roman" w:hAnsi="Times New Roman"/>
          <w:sz w:val="24"/>
        </w:rPr>
        <w:t>собственности</w:t>
      </w:r>
      <w:r>
        <w:rPr>
          <w:rFonts w:ascii="Times New Roman" w:hAnsi="Times New Roman"/>
          <w:spacing w:val="-7"/>
          <w:sz w:val="24"/>
        </w:rPr>
        <w:t> </w:t>
      </w:r>
      <w:r>
        <w:rPr>
          <w:rFonts w:ascii="Times New Roman" w:hAnsi="Times New Roman"/>
          <w:sz w:val="24"/>
        </w:rPr>
        <w:t>на</w:t>
      </w:r>
      <w:r>
        <w:rPr>
          <w:rFonts w:ascii="Times New Roman" w:hAnsi="Times New Roman"/>
          <w:spacing w:val="-7"/>
          <w:sz w:val="24"/>
        </w:rPr>
        <w:t> </w:t>
      </w:r>
      <w:r>
        <w:rPr>
          <w:rFonts w:ascii="Times New Roman" w:hAnsi="Times New Roman"/>
          <w:sz w:val="24"/>
        </w:rPr>
        <w:t>жилье», – говорит Елена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Бахарева.</w:t>
      </w:r>
    </w:p>
    <w:p>
      <w:pPr>
        <w:spacing w:line="276" w:lineRule="auto" w:before="2"/>
        <w:ind w:left="142" w:right="15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Компенсацию за июль выплатят в конце августа. Вот только для нельготников она будет половинной, то есть 50% от 11%.</w:t>
      </w:r>
    </w:p>
    <w:p>
      <w:pPr>
        <w:spacing w:line="276" w:lineRule="auto" w:before="1"/>
        <w:ind w:left="142" w:right="15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Рассчитывать сумму будут специально обученные специалисты по формулам в зависимости от района проживания и типа жилья. Предоставляться компенсация будет до 31 декабря 2017 года. Крайний срок, когда можно обратиться за выплатой, начиная с июля 2017-го, – это январь 2018 года.</w:t>
      </w:r>
    </w:p>
    <w:p>
      <w:pPr>
        <w:pStyle w:val="BodyText"/>
        <w:spacing w:before="7"/>
        <w:rPr>
          <w:rFonts w:ascii="Times New Roman"/>
          <w:sz w:val="24"/>
        </w:rPr>
      </w:pPr>
    </w:p>
    <w:p>
      <w:pPr>
        <w:spacing w:before="0"/>
        <w:ind w:left="1999" w:right="0" w:firstLine="0"/>
        <w:jc w:val="left"/>
        <w:rPr>
          <w:b/>
          <w:sz w:val="24"/>
        </w:rPr>
      </w:pPr>
      <w:r>
        <w:rPr/>
        <w:pict>
          <v:line style="position:absolute;mso-position-horizontal-relative:page;mso-position-vertical-relative:paragraph;z-index:1096" from="78.624001pt,.184426pt" to="78.624001pt,14.584426pt" stroked="true" strokeweight="2.16pt" strokecolor="#1f8fb0">
            <v:stroke dashstyle="solid"/>
            <w10:wrap type="none"/>
          </v:line>
        </w:pict>
      </w:r>
      <w:r>
        <w:rPr>
          <w:b/>
          <w:color w:val="1F8FB0"/>
          <w:sz w:val="24"/>
        </w:rPr>
        <w:t>Популярные ответы на вопросы по ЖКХ</w:t>
      </w:r>
    </w:p>
    <w:p>
      <w:pPr>
        <w:pStyle w:val="BodyText"/>
        <w:rPr>
          <w:b/>
          <w:sz w:val="15"/>
        </w:rPr>
      </w:pPr>
    </w:p>
    <w:p>
      <w:pPr>
        <w:pStyle w:val="BodyText"/>
        <w:spacing w:before="99"/>
        <w:ind w:left="142"/>
      </w:pPr>
      <w:hyperlink r:id="rId8">
        <w:r>
          <w:rPr>
            <w:rFonts w:ascii="Times New Roman" w:hAnsi="Times New Roman"/>
            <w:color w:val="088DAC"/>
            <w:spacing w:val="-50"/>
            <w:w w:val="99"/>
            <w:u w:val="single" w:color="088DAC"/>
          </w:rPr>
          <w:t> </w:t>
        </w:r>
        <w:r>
          <w:rPr>
            <w:color w:val="088DAC"/>
            <w:u w:val="single" w:color="088DAC"/>
          </w:rPr>
          <w:t>Как рассчитывается плата за вывоз твердых бытовых отходов – с одного человека или</w:t>
        </w:r>
        <w:r>
          <w:rPr>
            <w:color w:val="088DAC"/>
            <w:spacing w:val="-41"/>
            <w:u w:val="single" w:color="088DAC"/>
          </w:rPr>
          <w:t> </w:t>
        </w:r>
        <w:r>
          <w:rPr>
            <w:color w:val="088DAC"/>
            <w:spacing w:val="4"/>
            <w:u w:val="single" w:color="088DAC"/>
          </w:rPr>
          <w:t>с</w:t>
        </w:r>
      </w:hyperlink>
    </w:p>
    <w:p>
      <w:pPr>
        <w:pStyle w:val="BodyText"/>
        <w:tabs>
          <w:tab w:pos="3899" w:val="left" w:leader="none"/>
          <w:tab w:pos="6024" w:val="left" w:leader="none"/>
          <w:tab w:pos="8268" w:val="left" w:leader="none"/>
        </w:tabs>
        <w:spacing w:line="259" w:lineRule="auto" w:before="21"/>
        <w:ind w:left="142" w:right="145"/>
      </w:pPr>
      <w:r>
        <w:rPr/>
        <w:pict>
          <v:line style="position:absolute;mso-position-horizontal-relative:page;mso-position-vertical-relative:paragraph;z-index:1120" from="85.103996pt,25.323713pt" to="552.933996pt,25.323713pt" stroked="true" strokeweight=".600010pt" strokecolor="#088dac">
            <v:stroke dashstyle="solid"/>
            <w10:wrap type="none"/>
          </v:line>
        </w:pict>
      </w:r>
      <w:hyperlink r:id="rId8">
        <w:r>
          <w:rPr>
            <w:rFonts w:ascii="Times New Roman" w:hAnsi="Times New Roman"/>
            <w:color w:val="088DAC"/>
            <w:spacing w:val="-50"/>
            <w:w w:val="99"/>
            <w:u w:val="single" w:color="088DAC"/>
          </w:rPr>
          <w:t> </w:t>
        </w:r>
        <w:r>
          <w:rPr>
            <w:color w:val="088DAC"/>
            <w:u w:val="single" w:color="088DAC"/>
          </w:rPr>
          <w:t>1 кв. м общей площади? Как она взимается с квартиры, в которой никто </w:t>
        </w:r>
        <w:r>
          <w:rPr>
            <w:color w:val="088DAC"/>
            <w:spacing w:val="5"/>
            <w:u w:val="single" w:color="088DAC"/>
          </w:rPr>
          <w:t>не</w:t>
        </w:r>
      </w:hyperlink>
      <w:r>
        <w:rPr>
          <w:color w:val="088DAC"/>
          <w:spacing w:val="5"/>
        </w:rPr>
        <w:t> </w:t>
      </w:r>
      <w:hyperlink r:id="rId8">
        <w:r>
          <w:rPr>
            <w:color w:val="088DAC"/>
          </w:rPr>
          <w:t>зарегистрирован</w:t>
          <w:tab/>
          <w:t>и</w:t>
          <w:tab/>
          <w:t>не</w:t>
          <w:tab/>
          <w:t>проживает?</w:t>
        </w:r>
      </w:hyperlink>
    </w:p>
    <w:p>
      <w:pPr>
        <w:pStyle w:val="BodyText"/>
        <w:spacing w:before="5"/>
        <w:rPr>
          <w:sz w:val="13"/>
        </w:rPr>
      </w:pPr>
    </w:p>
    <w:p>
      <w:pPr>
        <w:pStyle w:val="BodyText"/>
        <w:spacing w:line="259" w:lineRule="auto" w:before="100"/>
        <w:ind w:left="142" w:right="149"/>
        <w:jc w:val="both"/>
      </w:pPr>
      <w:r>
        <w:rPr/>
        <w:t>В</w:t>
      </w:r>
      <w:r>
        <w:rPr>
          <w:spacing w:val="-18"/>
        </w:rPr>
        <w:t> </w:t>
      </w:r>
      <w:r>
        <w:rPr/>
        <w:t>соответствии</w:t>
      </w:r>
      <w:r>
        <w:rPr>
          <w:spacing w:val="-17"/>
        </w:rPr>
        <w:t> </w:t>
      </w:r>
      <w:r>
        <w:rPr/>
        <w:t>со</w:t>
      </w:r>
      <w:r>
        <w:rPr>
          <w:spacing w:val="-19"/>
        </w:rPr>
        <w:t> </w:t>
      </w:r>
      <w:r>
        <w:rPr/>
        <w:t>ст.</w:t>
      </w:r>
      <w:r>
        <w:rPr>
          <w:spacing w:val="-19"/>
        </w:rPr>
        <w:t> </w:t>
      </w:r>
      <w:r>
        <w:rPr/>
        <w:t>154</w:t>
      </w:r>
      <w:r>
        <w:rPr>
          <w:spacing w:val="-18"/>
        </w:rPr>
        <w:t> </w:t>
      </w:r>
      <w:r>
        <w:rPr/>
        <w:t>Жилищного</w:t>
      </w:r>
      <w:r>
        <w:rPr>
          <w:spacing w:val="-17"/>
        </w:rPr>
        <w:t> </w:t>
      </w:r>
      <w:r>
        <w:rPr/>
        <w:t>кодекса</w:t>
      </w:r>
      <w:r>
        <w:rPr>
          <w:spacing w:val="-16"/>
        </w:rPr>
        <w:t> </w:t>
      </w:r>
      <w:r>
        <w:rPr/>
        <w:t>РФ,</w:t>
      </w:r>
      <w:r>
        <w:rPr>
          <w:spacing w:val="-16"/>
        </w:rPr>
        <w:t> </w:t>
      </w:r>
      <w:r>
        <w:rPr/>
        <w:t>в</w:t>
      </w:r>
      <w:r>
        <w:rPr>
          <w:spacing w:val="-17"/>
        </w:rPr>
        <w:t> </w:t>
      </w:r>
      <w:r>
        <w:rPr/>
        <w:t>структуру</w:t>
      </w:r>
      <w:r>
        <w:rPr>
          <w:spacing w:val="-18"/>
        </w:rPr>
        <w:t> </w:t>
      </w:r>
      <w:r>
        <w:rPr/>
        <w:t>платы</w:t>
      </w:r>
      <w:r>
        <w:rPr>
          <w:spacing w:val="-14"/>
        </w:rPr>
        <w:t> </w:t>
      </w:r>
      <w:r>
        <w:rPr/>
        <w:t>за</w:t>
      </w:r>
      <w:r>
        <w:rPr>
          <w:spacing w:val="-18"/>
        </w:rPr>
        <w:t> </w:t>
      </w:r>
      <w:r>
        <w:rPr/>
        <w:t>жилое</w:t>
      </w:r>
      <w:r>
        <w:rPr>
          <w:spacing w:val="-19"/>
        </w:rPr>
        <w:t> </w:t>
      </w:r>
      <w:r>
        <w:rPr/>
        <w:t>помещение включается плата за содержание и ремонт жилого помещения. Согласно п. 11 Правил содержания общего имущества в многоквартирном доме (постановление Правительства РФ от 13.08.2006 г. № 491), содержание общего имущества многоквартирного дома включает в себя сбор и вывоз твердых бытовых отходов, а согласно п. 28 собственники помещений</w:t>
      </w:r>
      <w:r>
        <w:rPr>
          <w:spacing w:val="-16"/>
        </w:rPr>
        <w:t> </w:t>
      </w:r>
      <w:r>
        <w:rPr/>
        <w:t>обязаны</w:t>
      </w:r>
      <w:r>
        <w:rPr>
          <w:spacing w:val="-16"/>
        </w:rPr>
        <w:t> </w:t>
      </w:r>
      <w:r>
        <w:rPr/>
        <w:t>нести</w:t>
      </w:r>
      <w:r>
        <w:rPr>
          <w:spacing w:val="-16"/>
        </w:rPr>
        <w:t> </w:t>
      </w:r>
      <w:r>
        <w:rPr/>
        <w:t>бремя</w:t>
      </w:r>
      <w:r>
        <w:rPr>
          <w:spacing w:val="-15"/>
        </w:rPr>
        <w:t> </w:t>
      </w:r>
      <w:r>
        <w:rPr/>
        <w:t>расходов</w:t>
      </w:r>
      <w:r>
        <w:rPr>
          <w:spacing w:val="-16"/>
        </w:rPr>
        <w:t> </w:t>
      </w:r>
      <w:r>
        <w:rPr/>
        <w:t>на</w:t>
      </w:r>
      <w:r>
        <w:rPr>
          <w:spacing w:val="-13"/>
        </w:rPr>
        <w:t> </w:t>
      </w:r>
      <w:r>
        <w:rPr/>
        <w:t>содержание</w:t>
      </w:r>
      <w:r>
        <w:rPr>
          <w:spacing w:val="-15"/>
        </w:rPr>
        <w:t> </w:t>
      </w:r>
      <w:r>
        <w:rPr/>
        <w:t>общего</w:t>
      </w:r>
      <w:r>
        <w:rPr>
          <w:spacing w:val="-15"/>
        </w:rPr>
        <w:t> </w:t>
      </w:r>
      <w:r>
        <w:rPr/>
        <w:t>имущества</w:t>
      </w:r>
      <w:r>
        <w:rPr>
          <w:spacing w:val="-13"/>
        </w:rPr>
        <w:t> </w:t>
      </w:r>
      <w:r>
        <w:rPr/>
        <w:t>соразмерно своим</w:t>
      </w:r>
      <w:r>
        <w:rPr>
          <w:spacing w:val="-17"/>
        </w:rPr>
        <w:t> </w:t>
      </w:r>
      <w:r>
        <w:rPr/>
        <w:t>долям</w:t>
      </w:r>
      <w:r>
        <w:rPr>
          <w:spacing w:val="-14"/>
        </w:rPr>
        <w:t> </w:t>
      </w:r>
      <w:r>
        <w:rPr/>
        <w:t>в</w:t>
      </w:r>
      <w:r>
        <w:rPr>
          <w:spacing w:val="-17"/>
        </w:rPr>
        <w:t> </w:t>
      </w:r>
      <w:r>
        <w:rPr/>
        <w:t>праве</w:t>
      </w:r>
      <w:r>
        <w:rPr>
          <w:spacing w:val="-16"/>
        </w:rPr>
        <w:t> </w:t>
      </w:r>
      <w:r>
        <w:rPr/>
        <w:t>общей</w:t>
      </w:r>
      <w:r>
        <w:rPr>
          <w:spacing w:val="-14"/>
        </w:rPr>
        <w:t> </w:t>
      </w:r>
      <w:r>
        <w:rPr/>
        <w:t>собственности</w:t>
      </w:r>
      <w:r>
        <w:rPr>
          <w:spacing w:val="-15"/>
        </w:rPr>
        <w:t> </w:t>
      </w:r>
      <w:r>
        <w:rPr/>
        <w:t>на</w:t>
      </w:r>
      <w:r>
        <w:rPr>
          <w:spacing w:val="-14"/>
        </w:rPr>
        <w:t> </w:t>
      </w:r>
      <w:r>
        <w:rPr/>
        <w:t>это</w:t>
      </w:r>
      <w:r>
        <w:rPr>
          <w:spacing w:val="-17"/>
        </w:rPr>
        <w:t> </w:t>
      </w:r>
      <w:r>
        <w:rPr/>
        <w:t>имущество.</w:t>
      </w:r>
      <w:r>
        <w:rPr>
          <w:spacing w:val="-15"/>
        </w:rPr>
        <w:t> </w:t>
      </w:r>
      <w:r>
        <w:rPr/>
        <w:t>Определение</w:t>
      </w:r>
      <w:r>
        <w:rPr>
          <w:spacing w:val="-15"/>
        </w:rPr>
        <w:t> </w:t>
      </w:r>
      <w:r>
        <w:rPr/>
        <w:t>долей</w:t>
      </w:r>
      <w:r>
        <w:rPr>
          <w:spacing w:val="-17"/>
        </w:rPr>
        <w:t> </w:t>
      </w:r>
      <w:r>
        <w:rPr/>
        <w:t>в</w:t>
      </w:r>
      <w:r>
        <w:rPr>
          <w:spacing w:val="-17"/>
        </w:rPr>
        <w:t> </w:t>
      </w:r>
      <w:r>
        <w:rPr/>
        <w:t>праве общей</w:t>
      </w:r>
      <w:r>
        <w:rPr>
          <w:spacing w:val="-16"/>
        </w:rPr>
        <w:t> </w:t>
      </w:r>
      <w:r>
        <w:rPr/>
        <w:t>собственности</w:t>
      </w:r>
      <w:r>
        <w:rPr>
          <w:spacing w:val="-15"/>
        </w:rPr>
        <w:t> </w:t>
      </w:r>
      <w:r>
        <w:rPr/>
        <w:t>на</w:t>
      </w:r>
      <w:r>
        <w:rPr>
          <w:spacing w:val="-17"/>
        </w:rPr>
        <w:t> </w:t>
      </w:r>
      <w:r>
        <w:rPr/>
        <w:t>общее</w:t>
      </w:r>
      <w:r>
        <w:rPr>
          <w:spacing w:val="-17"/>
        </w:rPr>
        <w:t> </w:t>
      </w:r>
      <w:r>
        <w:rPr/>
        <w:t>имущество</w:t>
      </w:r>
      <w:r>
        <w:rPr>
          <w:spacing w:val="-16"/>
        </w:rPr>
        <w:t> </w:t>
      </w:r>
      <w:r>
        <w:rPr/>
        <w:t>в</w:t>
      </w:r>
      <w:r>
        <w:rPr>
          <w:spacing w:val="-16"/>
        </w:rPr>
        <w:t> </w:t>
      </w:r>
      <w:r>
        <w:rPr/>
        <w:t>многоквартирном</w:t>
      </w:r>
      <w:r>
        <w:rPr>
          <w:spacing w:val="-17"/>
        </w:rPr>
        <w:t> </w:t>
      </w:r>
      <w:r>
        <w:rPr/>
        <w:t>доме</w:t>
      </w:r>
      <w:r>
        <w:rPr>
          <w:spacing w:val="-17"/>
        </w:rPr>
        <w:t> </w:t>
      </w:r>
      <w:r>
        <w:rPr/>
        <w:t>регламентируется</w:t>
      </w:r>
      <w:r>
        <w:rPr>
          <w:spacing w:val="-15"/>
        </w:rPr>
        <w:t> </w:t>
      </w:r>
      <w:r>
        <w:rPr/>
        <w:t>ст. 37 Жилищного кодекса РФ.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помещения. Кроме того, ст. 39 </w:t>
      </w:r>
      <w:r>
        <w:rPr>
          <w:spacing w:val="4"/>
        </w:rPr>
        <w:t>ЖК </w:t>
      </w:r>
      <w:r>
        <w:rPr/>
        <w:t>РФ определяет, что доля обязательных расходов на содержание общего имущества в многоквартирном доме определяется долей в праве общей собственности на общее имущество, т.е. на 1 кв.м общей площади жилого</w:t>
      </w:r>
      <w:r>
        <w:rPr>
          <w:spacing w:val="-7"/>
        </w:rPr>
        <w:t> </w:t>
      </w:r>
      <w:r>
        <w:rPr/>
        <w:t>помещения...</w:t>
      </w:r>
    </w:p>
    <w:p>
      <w:pPr>
        <w:pStyle w:val="BodyText"/>
        <w:spacing w:before="155"/>
        <w:ind w:left="142"/>
      </w:pPr>
      <w:hyperlink r:id="rId9">
        <w:r>
          <w:rPr>
            <w:rFonts w:ascii="Times New Roman" w:hAnsi="Times New Roman"/>
            <w:color w:val="088DAC"/>
            <w:spacing w:val="-50"/>
            <w:w w:val="99"/>
            <w:u w:val="single" w:color="088DAC"/>
          </w:rPr>
          <w:t> </w:t>
        </w:r>
        <w:r>
          <w:rPr>
            <w:color w:val="088DAC"/>
            <w:u w:val="single" w:color="088DAC"/>
          </w:rPr>
          <w:t>В</w:t>
        </w:r>
        <w:r>
          <w:rPr>
            <w:color w:val="088DAC"/>
            <w:spacing w:val="48"/>
            <w:u w:val="single" w:color="088DAC"/>
          </w:rPr>
          <w:t> </w:t>
        </w:r>
        <w:r>
          <w:rPr>
            <w:color w:val="088DAC"/>
            <w:u w:val="single" w:color="088DAC"/>
          </w:rPr>
          <w:t>квартире</w:t>
        </w:r>
        <w:r>
          <w:rPr>
            <w:color w:val="088DAC"/>
            <w:spacing w:val="47"/>
            <w:u w:val="single" w:color="088DAC"/>
          </w:rPr>
          <w:t> </w:t>
        </w:r>
        <w:r>
          <w:rPr>
            <w:color w:val="088DAC"/>
            <w:u w:val="single" w:color="088DAC"/>
          </w:rPr>
          <w:t>на</w:t>
        </w:r>
        <w:r>
          <w:rPr>
            <w:color w:val="088DAC"/>
            <w:spacing w:val="52"/>
            <w:u w:val="single" w:color="088DAC"/>
          </w:rPr>
          <w:t> </w:t>
        </w:r>
        <w:r>
          <w:rPr>
            <w:color w:val="088DAC"/>
            <w:u w:val="single" w:color="088DAC"/>
          </w:rPr>
          <w:t>кухне</w:t>
        </w:r>
        <w:r>
          <w:rPr>
            <w:color w:val="088DAC"/>
            <w:spacing w:val="52"/>
            <w:u w:val="single" w:color="088DAC"/>
          </w:rPr>
          <w:t> </w:t>
        </w:r>
        <w:r>
          <w:rPr>
            <w:color w:val="088DAC"/>
            <w:u w:val="single" w:color="088DAC"/>
          </w:rPr>
          <w:t>не</w:t>
        </w:r>
        <w:r>
          <w:rPr>
            <w:color w:val="088DAC"/>
            <w:spacing w:val="51"/>
            <w:u w:val="single" w:color="088DAC"/>
          </w:rPr>
          <w:t> </w:t>
        </w:r>
        <w:r>
          <w:rPr>
            <w:color w:val="088DAC"/>
            <w:u w:val="single" w:color="088DAC"/>
          </w:rPr>
          <w:t>исправен</w:t>
        </w:r>
        <w:r>
          <w:rPr>
            <w:color w:val="088DAC"/>
            <w:spacing w:val="51"/>
            <w:u w:val="single" w:color="088DAC"/>
          </w:rPr>
          <w:t> </w:t>
        </w:r>
        <w:r>
          <w:rPr>
            <w:color w:val="088DAC"/>
            <w:u w:val="single" w:color="088DAC"/>
          </w:rPr>
          <w:t>смеситель.</w:t>
        </w:r>
        <w:r>
          <w:rPr>
            <w:color w:val="088DAC"/>
            <w:spacing w:val="49"/>
            <w:u w:val="single" w:color="088DAC"/>
          </w:rPr>
          <w:t> </w:t>
        </w:r>
        <w:r>
          <w:rPr>
            <w:color w:val="088DAC"/>
            <w:u w:val="single" w:color="088DAC"/>
          </w:rPr>
          <w:t>Кто</w:t>
        </w:r>
        <w:r>
          <w:rPr>
            <w:color w:val="088DAC"/>
            <w:spacing w:val="47"/>
            <w:u w:val="single" w:color="088DAC"/>
          </w:rPr>
          <w:t> </w:t>
        </w:r>
        <w:r>
          <w:rPr>
            <w:color w:val="088DAC"/>
            <w:u w:val="single" w:color="088DAC"/>
          </w:rPr>
          <w:t>должен</w:t>
        </w:r>
        <w:r>
          <w:rPr>
            <w:color w:val="088DAC"/>
            <w:spacing w:val="51"/>
            <w:u w:val="single" w:color="088DAC"/>
          </w:rPr>
          <w:t> </w:t>
        </w:r>
        <w:r>
          <w:rPr>
            <w:color w:val="088DAC"/>
            <w:u w:val="single" w:color="088DAC"/>
          </w:rPr>
          <w:t>выполнить</w:t>
        </w:r>
        <w:r>
          <w:rPr>
            <w:color w:val="088DAC"/>
            <w:spacing w:val="50"/>
            <w:u w:val="single" w:color="088DAC"/>
          </w:rPr>
          <w:t> </w:t>
        </w:r>
        <w:r>
          <w:rPr>
            <w:color w:val="088DAC"/>
            <w:u w:val="single" w:color="088DAC"/>
          </w:rPr>
          <w:t>работы</w:t>
        </w:r>
        <w:r>
          <w:rPr>
            <w:color w:val="088DAC"/>
            <w:spacing w:val="50"/>
            <w:u w:val="single" w:color="088DAC"/>
          </w:rPr>
          <w:t> </w:t>
        </w:r>
        <w:r>
          <w:rPr>
            <w:color w:val="088DAC"/>
            <w:u w:val="single" w:color="088DAC"/>
          </w:rPr>
          <w:t>по</w:t>
        </w:r>
        <w:r>
          <w:rPr>
            <w:color w:val="088DAC"/>
            <w:spacing w:val="51"/>
            <w:u w:val="single" w:color="088DAC"/>
          </w:rPr>
          <w:t> </w:t>
        </w:r>
        <w:r>
          <w:rPr>
            <w:color w:val="088DAC"/>
            <w:spacing w:val="3"/>
            <w:u w:val="single" w:color="088DAC"/>
          </w:rPr>
          <w:t>его</w:t>
        </w:r>
      </w:hyperlink>
    </w:p>
    <w:p>
      <w:pPr>
        <w:pStyle w:val="BodyText"/>
        <w:spacing w:before="22"/>
        <w:ind w:left="142"/>
      </w:pPr>
      <w:hyperlink r:id="rId9">
        <w:r>
          <w:rPr>
            <w:rFonts w:ascii="Times New Roman" w:hAnsi="Times New Roman"/>
            <w:color w:val="088DAC"/>
            <w:spacing w:val="-50"/>
            <w:w w:val="99"/>
            <w:u w:val="single" w:color="088DAC"/>
          </w:rPr>
          <w:t> </w:t>
        </w:r>
        <w:r>
          <w:rPr>
            <w:color w:val="088DAC"/>
            <w:u w:val="single" w:color="088DAC"/>
          </w:rPr>
          <w:t>ремонту</w:t>
        </w:r>
        <w:r>
          <w:rPr>
            <w:color w:val="088DAC"/>
            <w:spacing w:val="8"/>
            <w:u w:val="single" w:color="088DAC"/>
          </w:rPr>
          <w:t> </w:t>
        </w:r>
        <w:r>
          <w:rPr>
            <w:color w:val="088DAC"/>
            <w:u w:val="single" w:color="088DAC"/>
          </w:rPr>
          <w:t>либо</w:t>
        </w:r>
        <w:r>
          <w:rPr>
            <w:color w:val="088DAC"/>
            <w:spacing w:val="8"/>
            <w:u w:val="single" w:color="088DAC"/>
          </w:rPr>
          <w:t> </w:t>
        </w:r>
        <w:r>
          <w:rPr>
            <w:color w:val="088DAC"/>
            <w:u w:val="single" w:color="088DAC"/>
          </w:rPr>
          <w:t>замене?</w:t>
        </w:r>
        <w:r>
          <w:rPr>
            <w:color w:val="088DAC"/>
            <w:spacing w:val="11"/>
            <w:u w:val="single" w:color="088DAC"/>
          </w:rPr>
          <w:t> </w:t>
        </w:r>
        <w:r>
          <w:rPr>
            <w:color w:val="088DAC"/>
            <w:u w:val="single" w:color="088DAC"/>
          </w:rPr>
          <w:t>Что</w:t>
        </w:r>
        <w:r>
          <w:rPr>
            <w:color w:val="088DAC"/>
            <w:spacing w:val="11"/>
            <w:u w:val="single" w:color="088DAC"/>
          </w:rPr>
          <w:t> </w:t>
        </w:r>
        <w:r>
          <w:rPr>
            <w:color w:val="088DAC"/>
            <w:u w:val="single" w:color="088DAC"/>
          </w:rPr>
          <w:t>в</w:t>
        </w:r>
        <w:r>
          <w:rPr>
            <w:color w:val="088DAC"/>
            <w:spacing w:val="8"/>
            <w:u w:val="single" w:color="088DAC"/>
          </w:rPr>
          <w:t> </w:t>
        </w:r>
        <w:r>
          <w:rPr>
            <w:color w:val="088DAC"/>
            <w:u w:val="single" w:color="088DAC"/>
          </w:rPr>
          <w:t>многоквартирном</w:t>
        </w:r>
        <w:r>
          <w:rPr>
            <w:color w:val="088DAC"/>
            <w:spacing w:val="9"/>
            <w:u w:val="single" w:color="088DAC"/>
          </w:rPr>
          <w:t> </w:t>
        </w:r>
        <w:r>
          <w:rPr>
            <w:color w:val="088DAC"/>
            <w:u w:val="single" w:color="088DAC"/>
          </w:rPr>
          <w:t>жилом</w:t>
        </w:r>
        <w:r>
          <w:rPr>
            <w:color w:val="088DAC"/>
            <w:spacing w:val="10"/>
            <w:u w:val="single" w:color="088DAC"/>
          </w:rPr>
          <w:t> </w:t>
        </w:r>
        <w:r>
          <w:rPr>
            <w:color w:val="088DAC"/>
            <w:u w:val="single" w:color="088DAC"/>
          </w:rPr>
          <w:t>доме</w:t>
        </w:r>
        <w:r>
          <w:rPr>
            <w:color w:val="088DAC"/>
            <w:spacing w:val="8"/>
            <w:u w:val="single" w:color="088DAC"/>
          </w:rPr>
          <w:t> </w:t>
        </w:r>
        <w:r>
          <w:rPr>
            <w:color w:val="088DAC"/>
            <w:u w:val="single" w:color="088DAC"/>
          </w:rPr>
          <w:t>должно</w:t>
        </w:r>
        <w:r>
          <w:rPr>
            <w:color w:val="088DAC"/>
            <w:spacing w:val="11"/>
            <w:u w:val="single" w:color="088DAC"/>
          </w:rPr>
          <w:t> </w:t>
        </w:r>
        <w:r>
          <w:rPr>
            <w:color w:val="088DAC"/>
            <w:u w:val="single" w:color="088DAC"/>
          </w:rPr>
          <w:t>содержаться</w:t>
        </w:r>
        <w:r>
          <w:rPr>
            <w:color w:val="088DAC"/>
            <w:spacing w:val="10"/>
            <w:u w:val="single" w:color="088DAC"/>
          </w:rPr>
          <w:t> </w:t>
        </w:r>
        <w:r>
          <w:rPr>
            <w:color w:val="088DAC"/>
            <w:u w:val="single" w:color="088DAC"/>
          </w:rPr>
          <w:t>за</w:t>
        </w:r>
        <w:r>
          <w:rPr>
            <w:color w:val="088DAC"/>
            <w:spacing w:val="10"/>
            <w:u w:val="single" w:color="088DAC"/>
          </w:rPr>
          <w:t> </w:t>
        </w:r>
        <w:r>
          <w:rPr>
            <w:color w:val="088DAC"/>
            <w:spacing w:val="2"/>
            <w:u w:val="single" w:color="088DAC"/>
          </w:rPr>
          <w:t>счет</w:t>
        </w:r>
      </w:hyperlink>
    </w:p>
    <w:p>
      <w:pPr>
        <w:pStyle w:val="BodyText"/>
        <w:spacing w:before="16"/>
        <w:ind w:left="142"/>
      </w:pPr>
      <w:hyperlink r:id="rId9">
        <w:r>
          <w:rPr>
            <w:rFonts w:ascii="Times New Roman" w:hAnsi="Times New Roman"/>
            <w:color w:val="088DAC"/>
            <w:w w:val="99"/>
            <w:u w:val="single" w:color="088DAC"/>
          </w:rPr>
          <w:t> </w:t>
        </w:r>
        <w:r>
          <w:rPr>
            <w:color w:val="088DAC"/>
            <w:u w:val="single" w:color="088DAC"/>
          </w:rPr>
          <w:t>общего тарифа, а что непосредственно за счет жильца?</w:t>
        </w:r>
      </w:hyperlink>
    </w:p>
    <w:p>
      <w:pPr>
        <w:pStyle w:val="BodyText"/>
        <w:spacing w:line="259" w:lineRule="auto" w:before="182"/>
        <w:ind w:left="142" w:right="147"/>
        <w:jc w:val="both"/>
      </w:pPr>
      <w:r>
        <w:rPr/>
        <w:t>В соответствии с Жилищным кодексом РФ в многоквартирном доме жильцам на правах собственности принадлежат не только квартиры (жилые помещения), но и общее имущество в таком доме. При этом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помещения. Следовательно, собственник обязан содержать в надлежащем состоянии как жилое помещение (квартиру), так и участвовать в содержании общего имущества. Для этого, руководствуясь Правилами содержания общего имущества в многоквартирном доме...» утвержденными постановлением Правительства РФ от 13.08.2006 № 491 собственники на общем собрании должны определить состав общего имущества в доме и утвердить тариф на содержание и ремонт жилого помещения. Необходимо отметить, что данный тариф распространяется только на общее имущество собственников, к которому относятся, например: полностью система отопления, в том числе в жилом помещении с учетом отопительных приборов, система водоснабжения, включая стояки и ответвления</w:t>
      </w:r>
    </w:p>
    <w:p>
      <w:pPr>
        <w:spacing w:after="0" w:line="259" w:lineRule="auto"/>
        <w:jc w:val="both"/>
        <w:sectPr>
          <w:pgSz w:w="11910" w:h="16840"/>
          <w:pgMar w:top="1040" w:bottom="280" w:left="1560" w:right="700"/>
        </w:sectPr>
      </w:pPr>
    </w:p>
    <w:p>
      <w:pPr>
        <w:pStyle w:val="BodyText"/>
        <w:spacing w:line="259" w:lineRule="auto" w:before="75"/>
        <w:ind w:left="142" w:right="146"/>
        <w:jc w:val="both"/>
      </w:pPr>
      <w:r>
        <w:rPr/>
        <w:t>до</w:t>
      </w:r>
      <w:r>
        <w:rPr>
          <w:spacing w:val="-16"/>
        </w:rPr>
        <w:t> </w:t>
      </w:r>
      <w:r>
        <w:rPr/>
        <w:t>первого</w:t>
      </w:r>
      <w:r>
        <w:rPr>
          <w:spacing w:val="-9"/>
        </w:rPr>
        <w:t> </w:t>
      </w:r>
      <w:r>
        <w:rPr/>
        <w:t>запорного</w:t>
      </w:r>
      <w:r>
        <w:rPr>
          <w:spacing w:val="-13"/>
        </w:rPr>
        <w:t> </w:t>
      </w:r>
      <w:r>
        <w:rPr/>
        <w:t>устройства</w:t>
      </w:r>
      <w:r>
        <w:rPr>
          <w:spacing w:val="-8"/>
        </w:rPr>
        <w:t> </w:t>
      </w:r>
      <w:r>
        <w:rPr/>
        <w:t>(включительно),</w:t>
      </w:r>
      <w:r>
        <w:rPr>
          <w:spacing w:val="-8"/>
        </w:rPr>
        <w:t> </w:t>
      </w:r>
      <w:r>
        <w:rPr/>
        <w:t>система</w:t>
      </w:r>
      <w:r>
        <w:rPr>
          <w:spacing w:val="-9"/>
        </w:rPr>
        <w:t> </w:t>
      </w:r>
      <w:r>
        <w:rPr/>
        <w:t>канализации,</w:t>
      </w:r>
      <w:r>
        <w:rPr>
          <w:spacing w:val="-14"/>
        </w:rPr>
        <w:t> </w:t>
      </w:r>
      <w:r>
        <w:rPr/>
        <w:t>включая</w:t>
      </w:r>
      <w:r>
        <w:rPr>
          <w:spacing w:val="-11"/>
        </w:rPr>
        <w:t> </w:t>
      </w:r>
      <w:r>
        <w:rPr/>
        <w:t>стояки и выпуски. Другими словами если рассматривать только инженерные коммуникации, то к общему имуществу будет относиться все механическое, электрическое, санитарно- техническое и иное оборудование, находящееся в многоквартирном доме за пределами или внутри помещений и обслуживающее более одного жилого и (или) нежилого помещения</w:t>
      </w:r>
      <w:r>
        <w:rPr>
          <w:spacing w:val="1"/>
        </w:rPr>
        <w:t> </w:t>
      </w:r>
      <w:r>
        <w:rPr/>
        <w:t>(квартиры)...</w:t>
      </w:r>
    </w:p>
    <w:sectPr>
      <w:pgSz w:w="11910" w:h="16840"/>
      <w:pgMar w:top="1040" w:bottom="280" w:left="1560" w:right="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ahoma">
    <w:altName w:val="Tahoma"/>
    <w:charset w:val="0"/>
    <w:family w:val="swiss"/>
    <w:pitch w:val="variable"/>
  </w:font>
  <w:font w:name="Verdana">
    <w:altName w:val="Verdana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ru-RU" w:eastAsia="ru-RU" w:bidi="ru-RU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20"/>
      <w:szCs w:val="20"/>
      <w:lang w:val="ru-RU" w:eastAsia="ru-RU" w:bidi="ru-RU"/>
    </w:rPr>
  </w:style>
  <w:style w:styleId="Heading1" w:type="paragraph">
    <w:name w:val="Heading 1"/>
    <w:basedOn w:val="Normal"/>
    <w:uiPriority w:val="1"/>
    <w:qFormat/>
    <w:pPr>
      <w:ind w:left="142" w:right="149"/>
      <w:jc w:val="both"/>
      <w:outlineLvl w:val="1"/>
    </w:pPr>
    <w:rPr>
      <w:rFonts w:ascii="Times New Roman" w:hAnsi="Times New Roman" w:eastAsia="Times New Roman" w:cs="Times New Roman"/>
      <w:sz w:val="26"/>
      <w:szCs w:val="26"/>
      <w:lang w:val="ru-RU" w:eastAsia="ru-RU" w:bidi="ru-RU"/>
    </w:rPr>
  </w:style>
  <w:style w:styleId="Heading2" w:type="paragraph">
    <w:name w:val="Heading 2"/>
    <w:basedOn w:val="Normal"/>
    <w:uiPriority w:val="1"/>
    <w:qFormat/>
    <w:pPr>
      <w:spacing w:before="1"/>
      <w:ind w:left="142" w:right="145"/>
      <w:jc w:val="both"/>
      <w:outlineLvl w:val="2"/>
    </w:pPr>
    <w:rPr>
      <w:rFonts w:ascii="Times New Roman" w:hAnsi="Times New Roman" w:eastAsia="Times New Roman" w:cs="Times New Roman"/>
      <w:sz w:val="24"/>
      <w:szCs w:val="24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/>
    <w:rPr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://nsknews.info/news/165234" TargetMode="External"/><Relationship Id="rId7" Type="http://schemas.openxmlformats.org/officeDocument/2006/relationships/image" Target="media/image2.jpeg"/><Relationship Id="rId8" Type="http://schemas.openxmlformats.org/officeDocument/2006/relationships/hyperlink" Target="http://www.zhkh.su/otvety_na_voprosy_po_zhkh/oplata_za_zhile_i_kommunalnye_uslugi/plata_za_vyvoz_tverdyh_bytovyh_othodov/" TargetMode="External"/><Relationship Id="rId9" Type="http://schemas.openxmlformats.org/officeDocument/2006/relationships/hyperlink" Target="http://www.zhkh.su/otvety_na_voprosy_po_zhkh/vodosnabzhenie/na_kuhne_ne_ispraven_smesitel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2018-01-24T07:02:22Z</dcterms:created>
  <dcterms:modified xsi:type="dcterms:W3CDTF">2018-01-24T07:02:22Z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2018-01-24T00:00:00Z</vt:filetime>
  </property>
</Properties>
</file>