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42633E">
        <w:rPr>
          <w:rFonts w:ascii="Times New Roman" w:hAnsi="Times New Roman" w:cs="Times New Roman"/>
          <w:b/>
          <w:sz w:val="28"/>
          <w:szCs w:val="28"/>
        </w:rPr>
        <w:t>феврале</w:t>
      </w:r>
      <w:r w:rsidR="007D2C5A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2633E">
        <w:rPr>
          <w:rFonts w:ascii="Times New Roman" w:hAnsi="Times New Roman" w:cs="Times New Roman"/>
          <w:sz w:val="28"/>
          <w:szCs w:val="28"/>
        </w:rPr>
        <w:t>феврале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42633E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42633E">
        <w:rPr>
          <w:rFonts w:ascii="Times New Roman" w:hAnsi="Times New Roman" w:cs="Times New Roman"/>
          <w:sz w:val="28"/>
          <w:szCs w:val="28"/>
        </w:rPr>
        <w:t>7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sz w:val="28"/>
          <w:szCs w:val="28"/>
        </w:rPr>
        <w:t>феврале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33E">
        <w:rPr>
          <w:rFonts w:ascii="Times New Roman" w:hAnsi="Times New Roman" w:cs="Times New Roman"/>
          <w:b/>
          <w:sz w:val="28"/>
          <w:szCs w:val="28"/>
        </w:rPr>
        <w:t>Экономики- 3</w:t>
      </w:r>
      <w:r w:rsidR="00AB529F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CD24F6">
        <w:rPr>
          <w:rFonts w:ascii="Times New Roman" w:hAnsi="Times New Roman" w:cs="Times New Roman"/>
          <w:sz w:val="28"/>
          <w:szCs w:val="28"/>
        </w:rPr>
        <w:t>феврале</w:t>
      </w:r>
      <w:bookmarkStart w:id="0" w:name="_GoBack"/>
      <w:bookmarkEnd w:id="0"/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42633E">
        <w:rPr>
          <w:rFonts w:ascii="Times New Roman" w:hAnsi="Times New Roman" w:cs="Times New Roman"/>
          <w:sz w:val="28"/>
          <w:szCs w:val="28"/>
        </w:rPr>
        <w:t xml:space="preserve"> 3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>а (2021 год-2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 </w:t>
      </w:r>
      <w:r w:rsidR="0042633E">
        <w:rPr>
          <w:lang w:val="ru-RU"/>
        </w:rPr>
        <w:t>феврале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42633E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800E15" w:rsidP="00800E1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CD24F6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CD24F6">
        <w:rPr>
          <w:rFonts w:ascii="Times New Roman" w:eastAsia="Times New Roman" w:hAnsi="Times New Roman" w:cs="Times New Roman"/>
          <w:b/>
          <w:sz w:val="28"/>
        </w:rPr>
        <w:t>феврале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CD24F6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феврале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CD24F6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CD24F6" w:rsidP="00CB6B8C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феврале</w:t>
            </w:r>
            <w:proofErr w:type="gramEnd"/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31630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 xml:space="preserve"> 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F0684B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CD24F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</w:t>
            </w:r>
            <w:r w:rsidR="004A70E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136" w:type="dxa"/>
          </w:tcPr>
          <w:p w:rsidR="00800E15" w:rsidRPr="00800E15" w:rsidRDefault="004A70E8" w:rsidP="00CD24F6">
            <w:pPr>
              <w:spacing w:line="320" w:lineRule="exact"/>
              <w:ind w:left="196" w:right="199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2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42633E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9979B7" w:rsidRDefault="0042633E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C63F3"/>
    <w:rsid w:val="003D7B6F"/>
    <w:rsid w:val="003F3A13"/>
    <w:rsid w:val="0042633E"/>
    <w:rsid w:val="00440B61"/>
    <w:rsid w:val="004A70E8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C04705"/>
    <w:rsid w:val="00CB6B8C"/>
    <w:rsid w:val="00CD24F6"/>
    <w:rsid w:val="00DF28D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5447680"/>
        <c:axId val="138432448"/>
        <c:axId val="0"/>
      </c:bar3DChart>
      <c:catAx>
        <c:axId val="125447680"/>
        <c:scaling>
          <c:orientation val="minMax"/>
        </c:scaling>
        <c:delete val="0"/>
        <c:axPos val="b"/>
        <c:majorTickMark val="out"/>
        <c:minorTickMark val="none"/>
        <c:tickLblPos val="nextTo"/>
        <c:crossAx val="138432448"/>
        <c:crosses val="autoZero"/>
        <c:auto val="1"/>
        <c:lblAlgn val="ctr"/>
        <c:lblOffset val="100"/>
        <c:noMultiLvlLbl val="0"/>
      </c:catAx>
      <c:valAx>
        <c:axId val="13843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54476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2019-03-21T03:33:00Z</dcterms:created>
  <dcterms:modified xsi:type="dcterms:W3CDTF">2023-03-15T07:50:00Z</dcterms:modified>
</cp:coreProperties>
</file>